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052" w:rsidRDefault="004A1052" w:rsidP="004A1052">
      <w:pPr>
        <w:spacing w:line="240" w:lineRule="auto"/>
        <w:jc w:val="center"/>
        <w:rPr>
          <w:b/>
          <w:color w:val="943634" w:themeColor="accent2" w:themeShade="BF"/>
          <w:sz w:val="28"/>
          <w:szCs w:val="28"/>
        </w:rPr>
      </w:pPr>
      <w:bookmarkStart w:id="0" w:name="_GoBack"/>
      <w:bookmarkEnd w:id="0"/>
      <w:r w:rsidRPr="00AF46DD">
        <w:rPr>
          <w:rFonts w:ascii="Times New Roman" w:hAnsi="Times New Roman"/>
          <w:noProof/>
        </w:rPr>
        <w:drawing>
          <wp:anchor distT="0" distB="0" distL="114300" distR="114300" simplePos="0" relativeHeight="251661312" behindDoc="1" locked="0" layoutInCell="1" allowOverlap="1" wp14:anchorId="2FADBA31" wp14:editId="36CCC1D8">
            <wp:simplePos x="0" y="0"/>
            <wp:positionH relativeFrom="column">
              <wp:posOffset>0</wp:posOffset>
            </wp:positionH>
            <wp:positionV relativeFrom="page">
              <wp:posOffset>914400</wp:posOffset>
            </wp:positionV>
            <wp:extent cx="2943225" cy="1000125"/>
            <wp:effectExtent l="19050" t="0" r="9525" b="0"/>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9" cstate="print"/>
                    <a:stretch>
                      <a:fillRect/>
                    </a:stretch>
                  </pic:blipFill>
                  <pic:spPr bwMode="auto">
                    <a:xfrm>
                      <a:off x="0" y="0"/>
                      <a:ext cx="2947287" cy="1001505"/>
                    </a:xfrm>
                    <a:prstGeom prst="rect">
                      <a:avLst/>
                    </a:prstGeom>
                    <a:noFill/>
                    <a:ln w="9525">
                      <a:noFill/>
                      <a:miter lim="800000"/>
                      <a:headEnd/>
                      <a:tailEnd/>
                    </a:ln>
                  </pic:spPr>
                </pic:pic>
              </a:graphicData>
            </a:graphic>
          </wp:anchor>
        </w:drawing>
      </w:r>
    </w:p>
    <w:p w:rsidR="004A1052" w:rsidRDefault="004A1052" w:rsidP="004A1052">
      <w:pPr>
        <w:spacing w:line="240" w:lineRule="auto"/>
        <w:ind w:left="2880"/>
        <w:jc w:val="right"/>
        <w:rPr>
          <w:b/>
          <w:color w:val="943634" w:themeColor="accent2" w:themeShade="BF"/>
          <w:sz w:val="28"/>
          <w:szCs w:val="28"/>
        </w:rPr>
      </w:pPr>
      <w:r w:rsidRPr="00B83F36">
        <w:rPr>
          <w:b/>
          <w:noProof/>
          <w:color w:val="943634" w:themeColor="accent2" w:themeShade="BF"/>
          <w:sz w:val="28"/>
          <w:szCs w:val="28"/>
        </w:rPr>
        <w:drawing>
          <wp:inline distT="0" distB="0" distL="0" distR="0" wp14:anchorId="68353F5A" wp14:editId="5DCC4F43">
            <wp:extent cx="2791748" cy="304048"/>
            <wp:effectExtent l="0" t="0" r="0" b="1270"/>
            <wp:docPr id="5" name="Picture 5" descr="C:\Users\luggr\Dropbox (SC)\SCS Team Folders\Marketing\ActOneCreative\SCS jpgs\SCS logo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ggr\Dropbox (SC)\SCS Team Folders\Marketing\ActOneCreative\SCS jpgs\SCS logo color.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47421" cy="310111"/>
                    </a:xfrm>
                    <a:prstGeom prst="rect">
                      <a:avLst/>
                    </a:prstGeom>
                    <a:noFill/>
                    <a:ln>
                      <a:noFill/>
                    </a:ln>
                  </pic:spPr>
                </pic:pic>
              </a:graphicData>
            </a:graphic>
          </wp:inline>
        </w:drawing>
      </w:r>
    </w:p>
    <w:p w:rsidR="00C62F33" w:rsidRDefault="00C62F33" w:rsidP="00C62F33">
      <w:pPr>
        <w:jc w:val="right"/>
        <w:rPr>
          <w:rFonts w:ascii="Times New Roman" w:hAnsi="Times New Roman"/>
          <w:sz w:val="4"/>
          <w:lang w:val="pt-BR"/>
        </w:rPr>
      </w:pPr>
    </w:p>
    <w:p w:rsidR="00C62F33" w:rsidRDefault="00C62F33" w:rsidP="00C62F33">
      <w:pPr>
        <w:jc w:val="right"/>
        <w:rPr>
          <w:rFonts w:ascii="Times New Roman" w:hAnsi="Times New Roman"/>
          <w:sz w:val="4"/>
          <w:lang w:val="pt-BR"/>
        </w:rPr>
      </w:pPr>
    </w:p>
    <w:p w:rsidR="00C62F33" w:rsidRPr="00AF46DD" w:rsidRDefault="00C62F33" w:rsidP="00C62F33">
      <w:pPr>
        <w:jc w:val="right"/>
        <w:rPr>
          <w:rFonts w:ascii="Times New Roman" w:hAnsi="Times New Roman"/>
          <w:sz w:val="4"/>
          <w:lang w:val="pt-BR"/>
        </w:rPr>
      </w:pPr>
    </w:p>
    <w:p w:rsidR="0016321F" w:rsidRPr="0016321F" w:rsidRDefault="00F8431C" w:rsidP="0016321F">
      <w:pPr>
        <w:pStyle w:val="NoSpacing"/>
        <w:jc w:val="center"/>
        <w:rPr>
          <w:b/>
          <w:sz w:val="28"/>
          <w:szCs w:val="28"/>
        </w:rPr>
      </w:pPr>
      <w:r>
        <w:rPr>
          <w:b/>
          <w:sz w:val="28"/>
          <w:szCs w:val="28"/>
        </w:rPr>
        <w:t>Michigan Shared Print Initiative (MI-SPI</w:t>
      </w:r>
      <w:r w:rsidR="0016321F" w:rsidRPr="0016321F">
        <w:rPr>
          <w:b/>
          <w:sz w:val="28"/>
          <w:szCs w:val="28"/>
        </w:rPr>
        <w:t>)</w:t>
      </w:r>
    </w:p>
    <w:p w:rsidR="0016321F" w:rsidRPr="006C59A2" w:rsidRDefault="0016321F" w:rsidP="0016321F">
      <w:pPr>
        <w:pStyle w:val="NoSpacing"/>
        <w:jc w:val="center"/>
        <w:rPr>
          <w:b/>
          <w:sz w:val="16"/>
          <w:szCs w:val="16"/>
        </w:rPr>
      </w:pPr>
    </w:p>
    <w:p w:rsidR="0016321F" w:rsidRDefault="00712A40" w:rsidP="0016321F">
      <w:pPr>
        <w:pStyle w:val="NoSpacing"/>
        <w:jc w:val="center"/>
        <w:rPr>
          <w:sz w:val="28"/>
          <w:szCs w:val="28"/>
        </w:rPr>
      </w:pPr>
      <w:r>
        <w:rPr>
          <w:sz w:val="28"/>
          <w:szCs w:val="28"/>
        </w:rPr>
        <w:t>Preliminary Project Plan</w:t>
      </w:r>
      <w:r w:rsidR="00F8431C">
        <w:rPr>
          <w:sz w:val="28"/>
          <w:szCs w:val="28"/>
        </w:rPr>
        <w:t>/Proposal</w:t>
      </w:r>
    </w:p>
    <w:p w:rsidR="00712A40" w:rsidRPr="006F2196" w:rsidRDefault="00712A40" w:rsidP="0016321F">
      <w:pPr>
        <w:pStyle w:val="NoSpacing"/>
        <w:jc w:val="center"/>
        <w:rPr>
          <w:sz w:val="16"/>
          <w:szCs w:val="16"/>
        </w:rPr>
      </w:pPr>
    </w:p>
    <w:p w:rsidR="0016321F" w:rsidRPr="0016321F" w:rsidRDefault="004A1052" w:rsidP="0016321F">
      <w:pPr>
        <w:pStyle w:val="NoSpacing"/>
        <w:jc w:val="center"/>
        <w:rPr>
          <w:sz w:val="24"/>
          <w:szCs w:val="24"/>
        </w:rPr>
      </w:pPr>
      <w:r>
        <w:rPr>
          <w:sz w:val="24"/>
          <w:szCs w:val="24"/>
        </w:rPr>
        <w:t>February 23</w:t>
      </w:r>
      <w:r w:rsidR="00712A40">
        <w:rPr>
          <w:sz w:val="24"/>
          <w:szCs w:val="24"/>
        </w:rPr>
        <w:t>, 2015</w:t>
      </w:r>
    </w:p>
    <w:p w:rsidR="0067184B" w:rsidRDefault="0067184B" w:rsidP="000B5137">
      <w:pPr>
        <w:pStyle w:val="NoSpacing"/>
        <w:rPr>
          <w:b/>
        </w:rPr>
      </w:pPr>
    </w:p>
    <w:p w:rsidR="00B77D6E" w:rsidRDefault="00B77D6E" w:rsidP="000B5137">
      <w:pPr>
        <w:pStyle w:val="NoSpacing"/>
        <w:rPr>
          <w:b/>
        </w:rPr>
      </w:pPr>
      <w:r>
        <w:rPr>
          <w:b/>
        </w:rPr>
        <w:t>Overview</w:t>
      </w:r>
    </w:p>
    <w:p w:rsidR="00386B63" w:rsidRDefault="00386B63" w:rsidP="00386B63">
      <w:pPr>
        <w:pStyle w:val="NoSpacing"/>
      </w:pPr>
      <w:r>
        <w:t>The Michigan Shared Print Initiative (MI-SPI) developed in the course of SCS’s first group collection analysis projects in 2012-2013. SCS work on that project was completed in late 2013. Given the success of that pioneering project, and the continuing need to manage print book collections collaboratively, MI-SPI plans to repeat and expand its efforts in 2015.</w:t>
      </w:r>
    </w:p>
    <w:p w:rsidR="00386B63" w:rsidRDefault="00386B63" w:rsidP="00386B63">
      <w:pPr>
        <w:pStyle w:val="NoSpacing"/>
      </w:pPr>
    </w:p>
    <w:p w:rsidR="00386B63" w:rsidRDefault="00386B63" w:rsidP="00386B63">
      <w:pPr>
        <w:pStyle w:val="NoSpacing"/>
      </w:pPr>
      <w:r>
        <w:t>As with the initial project, there are a several dimensions to the proposed analysis, including a desire to quantify usage and overlap of holdings; to share costs related to retention; to identify and protect scarcely-held titles; and to withdraw surplus copies of widely-held, low-use titles. MI-SPI is also interested in incorporating regular collection analysis into its ongoing operations—i.e., to develop a model that supports analysis on demand, scheduled data refreshes, and predictable budgeting.</w:t>
      </w:r>
    </w:p>
    <w:p w:rsidR="00386B63" w:rsidRDefault="00386B63" w:rsidP="00386B63">
      <w:pPr>
        <w:pStyle w:val="NoSpacing"/>
      </w:pPr>
    </w:p>
    <w:p w:rsidR="00386B63" w:rsidRDefault="00386B63" w:rsidP="00386B63">
      <w:pPr>
        <w:pStyle w:val="NoSpacing"/>
      </w:pPr>
      <w:r>
        <w:t>Project participants want to use data and evidence-based methods to analyze their respective collections, and to create retention and withdrawal scenarios that support the primary goals of freeing library space for other purposes, while also safeguarding the group’s collective holdings. OCLC/SCS proposes to provide data analysis and related consulting services in support of MI-SPI objectives. OCLC/SCS shares with MI-SPI the goal of creating an ongoing program of data work and use of our GreenGlass decision-support software to help Michigan libraries manage their print collections effectively.</w:t>
      </w:r>
    </w:p>
    <w:p w:rsidR="00386B63" w:rsidRDefault="00386B63" w:rsidP="00386B63">
      <w:pPr>
        <w:pStyle w:val="NoSpacing"/>
      </w:pPr>
    </w:p>
    <w:p w:rsidR="0016321F" w:rsidRDefault="0016321F" w:rsidP="0016321F">
      <w:pPr>
        <w:pStyle w:val="NoSpacing"/>
      </w:pPr>
      <w:r>
        <w:t>This</w:t>
      </w:r>
      <w:r w:rsidR="00712A40">
        <w:t xml:space="preserve"> preliminary project plan outlines the process that </w:t>
      </w:r>
      <w:r w:rsidR="00F8431C">
        <w:t>OCLC/</w:t>
      </w:r>
      <w:r w:rsidR="00712A40">
        <w:t>SCS will follow in its collection analysis work w</w:t>
      </w:r>
      <w:r w:rsidR="00F8431C">
        <w:t>ith libraries participating in the 2015 renewal</w:t>
      </w:r>
      <w:r>
        <w:t xml:space="preserve">. </w:t>
      </w:r>
      <w:r w:rsidR="00F8431C">
        <w:t>While this project builds on experience and in some cases on dat</w:t>
      </w:r>
      <w:r w:rsidR="00386B63">
        <w:t>a generated in the original 2012-2013</w:t>
      </w:r>
      <w:r w:rsidR="00F8431C">
        <w:t xml:space="preserve"> pilot project, it should be viewed as essentially new work. MI-SPI participants will be able to take advantage of new capabilities OCLC/SCS has developed since then, and will have access to GreenGlass to support their decision-making.</w:t>
      </w:r>
    </w:p>
    <w:p w:rsidR="00712A40" w:rsidRDefault="00712A40" w:rsidP="0016321F">
      <w:pPr>
        <w:pStyle w:val="NoSpacing"/>
      </w:pPr>
    </w:p>
    <w:p w:rsidR="00712A40" w:rsidRDefault="00712A40" w:rsidP="0016321F">
      <w:pPr>
        <w:pStyle w:val="NoSpacing"/>
      </w:pPr>
      <w:r>
        <w:rPr>
          <w:b/>
        </w:rPr>
        <w:t>Participating Libraries</w:t>
      </w:r>
    </w:p>
    <w:p w:rsidR="00F8431C" w:rsidRDefault="00F8431C" w:rsidP="0016321F">
      <w:pPr>
        <w:pStyle w:val="NoSpacing"/>
      </w:pPr>
      <w:r>
        <w:t>As in 2011, the contract for MI-SPI will be executed through the Midwest Collaborative for Library Services (MCLS). OCLC/SCS will invoice and be paid by MCLS, which will in turn invoice the participants.</w:t>
      </w:r>
    </w:p>
    <w:p w:rsidR="00F8431C" w:rsidRDefault="00F8431C" w:rsidP="0016321F">
      <w:pPr>
        <w:pStyle w:val="NoSpacing"/>
      </w:pPr>
    </w:p>
    <w:p w:rsidR="00712A40" w:rsidRDefault="00F8431C" w:rsidP="0016321F">
      <w:pPr>
        <w:pStyle w:val="NoSpacing"/>
      </w:pPr>
      <w:r>
        <w:t>There are two</w:t>
      </w:r>
      <w:r w:rsidR="00712A40">
        <w:t xml:space="preserve"> categories of library partici</w:t>
      </w:r>
      <w:r w:rsidR="00792D86">
        <w:t>pants in this project:</w:t>
      </w:r>
    </w:p>
    <w:p w:rsidR="00712A40" w:rsidRDefault="00712A40" w:rsidP="0016321F">
      <w:pPr>
        <w:pStyle w:val="NoSpacing"/>
      </w:pPr>
    </w:p>
    <w:p w:rsidR="00712A40" w:rsidRDefault="0006091E" w:rsidP="00712A40">
      <w:pPr>
        <w:pStyle w:val="NoSpacing"/>
        <w:numPr>
          <w:ilvl w:val="0"/>
          <w:numId w:val="7"/>
        </w:numPr>
      </w:pPr>
      <w:r>
        <w:rPr>
          <w:b/>
        </w:rPr>
        <w:t xml:space="preserve">Category 1: </w:t>
      </w:r>
      <w:r w:rsidR="00F8431C">
        <w:t>Direct c</w:t>
      </w:r>
      <w:r w:rsidR="00792D86">
        <w:t>ollection analysis participa</w:t>
      </w:r>
      <w:r w:rsidR="00F8431C">
        <w:t>nts</w:t>
      </w:r>
      <w:r w:rsidR="00386B63">
        <w:t>, outlined in the following table:</w:t>
      </w:r>
    </w:p>
    <w:p w:rsidR="0006091E" w:rsidRDefault="0006091E" w:rsidP="0006091E">
      <w:pPr>
        <w:pStyle w:val="NoSpacing"/>
      </w:pPr>
    </w:p>
    <w:tbl>
      <w:tblPr>
        <w:tblStyle w:val="TableGrid"/>
        <w:tblW w:w="0" w:type="auto"/>
        <w:tblInd w:w="720" w:type="dxa"/>
        <w:tblLook w:val="04A0" w:firstRow="1" w:lastRow="0" w:firstColumn="1" w:lastColumn="0" w:noHBand="0" w:noVBand="1"/>
      </w:tblPr>
      <w:tblGrid>
        <w:gridCol w:w="3267"/>
        <w:gridCol w:w="1762"/>
        <w:gridCol w:w="2572"/>
      </w:tblGrid>
      <w:tr w:rsidR="00386B63" w:rsidTr="00386B63">
        <w:tc>
          <w:tcPr>
            <w:tcW w:w="0" w:type="auto"/>
          </w:tcPr>
          <w:p w:rsidR="00386B63" w:rsidRPr="0065112E" w:rsidRDefault="00386B63" w:rsidP="00BC65A1">
            <w:pPr>
              <w:pStyle w:val="NoSpacing"/>
              <w:rPr>
                <w:b/>
              </w:rPr>
            </w:pPr>
            <w:r>
              <w:rPr>
                <w:b/>
              </w:rPr>
              <w:lastRenderedPageBreak/>
              <w:t>Institution Name</w:t>
            </w:r>
          </w:p>
        </w:tc>
        <w:tc>
          <w:tcPr>
            <w:tcW w:w="0" w:type="auto"/>
          </w:tcPr>
          <w:p w:rsidR="00386B63" w:rsidRPr="00FB23C7" w:rsidRDefault="00386B63" w:rsidP="00BC65A1">
            <w:pPr>
              <w:pStyle w:val="NoSpacing"/>
              <w:rPr>
                <w:b/>
              </w:rPr>
            </w:pPr>
            <w:r>
              <w:rPr>
                <w:b/>
              </w:rPr>
              <w:t># of monographs</w:t>
            </w:r>
          </w:p>
        </w:tc>
        <w:tc>
          <w:tcPr>
            <w:tcW w:w="0" w:type="auto"/>
          </w:tcPr>
          <w:p w:rsidR="00386B63" w:rsidRPr="00FB23C7" w:rsidRDefault="00386B63" w:rsidP="00BC65A1">
            <w:pPr>
              <w:pStyle w:val="NoSpacing"/>
              <w:rPr>
                <w:b/>
              </w:rPr>
            </w:pPr>
            <w:r>
              <w:rPr>
                <w:b/>
              </w:rPr>
              <w:t>Integrated Library System</w:t>
            </w:r>
          </w:p>
        </w:tc>
      </w:tr>
      <w:tr w:rsidR="00386B63" w:rsidTr="00386B63">
        <w:tc>
          <w:tcPr>
            <w:tcW w:w="0" w:type="auto"/>
          </w:tcPr>
          <w:p w:rsidR="00386B63" w:rsidRDefault="00386B63" w:rsidP="00BC65A1">
            <w:pPr>
              <w:pStyle w:val="NoSpacing"/>
            </w:pPr>
            <w:r>
              <w:t>Central Michigan University</w:t>
            </w:r>
          </w:p>
        </w:tc>
        <w:tc>
          <w:tcPr>
            <w:tcW w:w="0" w:type="auto"/>
          </w:tcPr>
          <w:p w:rsidR="00386B63" w:rsidRDefault="00386B63" w:rsidP="00BC65A1">
            <w:pPr>
              <w:pStyle w:val="NoSpacing"/>
            </w:pPr>
            <w:r>
              <w:t>558,759</w:t>
            </w:r>
          </w:p>
        </w:tc>
        <w:tc>
          <w:tcPr>
            <w:tcW w:w="0" w:type="auto"/>
          </w:tcPr>
          <w:p w:rsidR="00386B63" w:rsidRDefault="00386B63" w:rsidP="00BC65A1">
            <w:pPr>
              <w:pStyle w:val="NoSpacing"/>
            </w:pPr>
            <w:r>
              <w:t>Innovative</w:t>
            </w:r>
          </w:p>
        </w:tc>
      </w:tr>
      <w:tr w:rsidR="00386B63" w:rsidTr="00386B63">
        <w:tc>
          <w:tcPr>
            <w:tcW w:w="0" w:type="auto"/>
          </w:tcPr>
          <w:p w:rsidR="00386B63" w:rsidRDefault="00386B63" w:rsidP="00BC65A1">
            <w:pPr>
              <w:pStyle w:val="NoSpacing"/>
            </w:pPr>
            <w:r>
              <w:t>Ferris State University</w:t>
            </w:r>
          </w:p>
        </w:tc>
        <w:tc>
          <w:tcPr>
            <w:tcW w:w="0" w:type="auto"/>
          </w:tcPr>
          <w:p w:rsidR="00386B63" w:rsidRDefault="00386B63" w:rsidP="00BC65A1">
            <w:pPr>
              <w:pStyle w:val="NoSpacing"/>
            </w:pPr>
            <w:r>
              <w:t>153,422</w:t>
            </w:r>
          </w:p>
        </w:tc>
        <w:tc>
          <w:tcPr>
            <w:tcW w:w="0" w:type="auto"/>
          </w:tcPr>
          <w:p w:rsidR="00386B63" w:rsidRDefault="00386B63" w:rsidP="00BC65A1">
            <w:pPr>
              <w:pStyle w:val="NoSpacing"/>
            </w:pPr>
            <w:r>
              <w:t>Innovative</w:t>
            </w:r>
          </w:p>
        </w:tc>
      </w:tr>
      <w:tr w:rsidR="00386B63" w:rsidTr="00386B63">
        <w:tc>
          <w:tcPr>
            <w:tcW w:w="0" w:type="auto"/>
          </w:tcPr>
          <w:p w:rsidR="00386B63" w:rsidRDefault="00386B63" w:rsidP="00BC65A1">
            <w:pPr>
              <w:pStyle w:val="NoSpacing"/>
            </w:pPr>
            <w:r>
              <w:t>Grand Valley State University</w:t>
            </w:r>
          </w:p>
        </w:tc>
        <w:tc>
          <w:tcPr>
            <w:tcW w:w="0" w:type="auto"/>
          </w:tcPr>
          <w:p w:rsidR="00386B63" w:rsidRDefault="00386B63" w:rsidP="00BC65A1">
            <w:pPr>
              <w:pStyle w:val="NoSpacing"/>
            </w:pPr>
            <w:r>
              <w:t>292,904</w:t>
            </w:r>
          </w:p>
        </w:tc>
        <w:tc>
          <w:tcPr>
            <w:tcW w:w="0" w:type="auto"/>
          </w:tcPr>
          <w:p w:rsidR="00386B63" w:rsidRDefault="00386B63" w:rsidP="00BC65A1">
            <w:pPr>
              <w:pStyle w:val="NoSpacing"/>
            </w:pPr>
            <w:r>
              <w:t>Innovative</w:t>
            </w:r>
          </w:p>
        </w:tc>
      </w:tr>
      <w:tr w:rsidR="00386B63" w:rsidTr="00386B63">
        <w:tc>
          <w:tcPr>
            <w:tcW w:w="0" w:type="auto"/>
          </w:tcPr>
          <w:p w:rsidR="00386B63" w:rsidRDefault="00386B63" w:rsidP="00BC65A1">
            <w:pPr>
              <w:pStyle w:val="NoSpacing"/>
            </w:pPr>
            <w:r>
              <w:t>Michigan-Dearborn, Univ of</w:t>
            </w:r>
          </w:p>
        </w:tc>
        <w:tc>
          <w:tcPr>
            <w:tcW w:w="0" w:type="auto"/>
          </w:tcPr>
          <w:p w:rsidR="00386B63" w:rsidRDefault="00386B63" w:rsidP="00BC65A1">
            <w:pPr>
              <w:pStyle w:val="NoSpacing"/>
            </w:pPr>
            <w:r>
              <w:t>238,792</w:t>
            </w:r>
          </w:p>
        </w:tc>
        <w:tc>
          <w:tcPr>
            <w:tcW w:w="0" w:type="auto"/>
          </w:tcPr>
          <w:p w:rsidR="00386B63" w:rsidRDefault="002C6BEF" w:rsidP="00BC65A1">
            <w:pPr>
              <w:pStyle w:val="NoSpacing"/>
            </w:pPr>
            <w:r>
              <w:t>Innovative Sierra</w:t>
            </w:r>
          </w:p>
        </w:tc>
      </w:tr>
      <w:tr w:rsidR="00386B63" w:rsidTr="00386B63">
        <w:tc>
          <w:tcPr>
            <w:tcW w:w="0" w:type="auto"/>
          </w:tcPr>
          <w:p w:rsidR="00386B63" w:rsidRDefault="00386B63" w:rsidP="00BC65A1">
            <w:pPr>
              <w:pStyle w:val="NoSpacing"/>
            </w:pPr>
            <w:r>
              <w:t>Michigan Technological University</w:t>
            </w:r>
          </w:p>
        </w:tc>
        <w:tc>
          <w:tcPr>
            <w:tcW w:w="0" w:type="auto"/>
          </w:tcPr>
          <w:p w:rsidR="00386B63" w:rsidRDefault="00386B63" w:rsidP="00BC65A1">
            <w:pPr>
              <w:pStyle w:val="NoSpacing"/>
            </w:pPr>
            <w:r>
              <w:t>174,538</w:t>
            </w:r>
          </w:p>
        </w:tc>
        <w:tc>
          <w:tcPr>
            <w:tcW w:w="0" w:type="auto"/>
          </w:tcPr>
          <w:p w:rsidR="00386B63" w:rsidRDefault="00386B63" w:rsidP="00BC65A1">
            <w:pPr>
              <w:pStyle w:val="NoSpacing"/>
            </w:pPr>
            <w:r>
              <w:t>Voyager</w:t>
            </w:r>
          </w:p>
        </w:tc>
      </w:tr>
      <w:tr w:rsidR="00386B63" w:rsidTr="00386B63">
        <w:tc>
          <w:tcPr>
            <w:tcW w:w="0" w:type="auto"/>
          </w:tcPr>
          <w:p w:rsidR="00386B63" w:rsidRDefault="00386B63" w:rsidP="00BC65A1">
            <w:pPr>
              <w:pStyle w:val="NoSpacing"/>
            </w:pPr>
            <w:r>
              <w:t>Northern Michigan University</w:t>
            </w:r>
          </w:p>
        </w:tc>
        <w:tc>
          <w:tcPr>
            <w:tcW w:w="0" w:type="auto"/>
          </w:tcPr>
          <w:p w:rsidR="00386B63" w:rsidRDefault="00386B63" w:rsidP="00BC65A1">
            <w:pPr>
              <w:pStyle w:val="NoSpacing"/>
            </w:pPr>
            <w:r>
              <w:t>280,994</w:t>
            </w:r>
          </w:p>
        </w:tc>
        <w:tc>
          <w:tcPr>
            <w:tcW w:w="0" w:type="auto"/>
          </w:tcPr>
          <w:p w:rsidR="00386B63" w:rsidRDefault="002C6BEF" w:rsidP="00BC65A1">
            <w:pPr>
              <w:pStyle w:val="NoSpacing"/>
            </w:pPr>
            <w:r>
              <w:t>Voyager (shared w/ LSSU)</w:t>
            </w:r>
          </w:p>
        </w:tc>
      </w:tr>
      <w:tr w:rsidR="00386B63" w:rsidTr="00386B63">
        <w:tc>
          <w:tcPr>
            <w:tcW w:w="0" w:type="auto"/>
          </w:tcPr>
          <w:p w:rsidR="00386B63" w:rsidRDefault="00386B63" w:rsidP="00BC65A1">
            <w:pPr>
              <w:pStyle w:val="NoSpacing"/>
            </w:pPr>
            <w:r>
              <w:t>Oakland University</w:t>
            </w:r>
          </w:p>
        </w:tc>
        <w:tc>
          <w:tcPr>
            <w:tcW w:w="0" w:type="auto"/>
          </w:tcPr>
          <w:p w:rsidR="00386B63" w:rsidRDefault="00386B63" w:rsidP="00BC65A1">
            <w:pPr>
              <w:pStyle w:val="NoSpacing"/>
            </w:pPr>
            <w:r>
              <w:t>384,638</w:t>
            </w:r>
          </w:p>
        </w:tc>
        <w:tc>
          <w:tcPr>
            <w:tcW w:w="0" w:type="auto"/>
          </w:tcPr>
          <w:p w:rsidR="00386B63" w:rsidRDefault="00386B63" w:rsidP="00BC65A1">
            <w:pPr>
              <w:pStyle w:val="NoSpacing"/>
            </w:pPr>
            <w:r>
              <w:t>Innovative</w:t>
            </w:r>
          </w:p>
        </w:tc>
      </w:tr>
      <w:tr w:rsidR="00386B63" w:rsidTr="00386B63">
        <w:tc>
          <w:tcPr>
            <w:tcW w:w="0" w:type="auto"/>
          </w:tcPr>
          <w:p w:rsidR="00386B63" w:rsidRDefault="00386B63" w:rsidP="00BC65A1">
            <w:pPr>
              <w:pStyle w:val="NoSpacing"/>
            </w:pPr>
            <w:r>
              <w:t>Saginaw Valley State University</w:t>
            </w:r>
          </w:p>
        </w:tc>
        <w:tc>
          <w:tcPr>
            <w:tcW w:w="0" w:type="auto"/>
          </w:tcPr>
          <w:p w:rsidR="00386B63" w:rsidRDefault="00386B63" w:rsidP="00BC65A1">
            <w:pPr>
              <w:pStyle w:val="NoSpacing"/>
            </w:pPr>
            <w:r>
              <w:t>169,899</w:t>
            </w:r>
          </w:p>
        </w:tc>
        <w:tc>
          <w:tcPr>
            <w:tcW w:w="0" w:type="auto"/>
          </w:tcPr>
          <w:p w:rsidR="00386B63" w:rsidRDefault="00386B63" w:rsidP="00BC65A1">
            <w:pPr>
              <w:pStyle w:val="NoSpacing"/>
            </w:pPr>
            <w:r>
              <w:t>Innovative</w:t>
            </w:r>
          </w:p>
        </w:tc>
      </w:tr>
      <w:tr w:rsidR="00386B63" w:rsidTr="00386B63">
        <w:tc>
          <w:tcPr>
            <w:tcW w:w="0" w:type="auto"/>
          </w:tcPr>
          <w:p w:rsidR="00386B63" w:rsidRDefault="00386B63" w:rsidP="00BC65A1">
            <w:pPr>
              <w:pStyle w:val="NoSpacing"/>
            </w:pPr>
            <w:r>
              <w:t>Wayne State University</w:t>
            </w:r>
          </w:p>
        </w:tc>
        <w:tc>
          <w:tcPr>
            <w:tcW w:w="0" w:type="auto"/>
          </w:tcPr>
          <w:p w:rsidR="00386B63" w:rsidRDefault="00386B63" w:rsidP="00BC65A1">
            <w:pPr>
              <w:pStyle w:val="NoSpacing"/>
            </w:pPr>
            <w:r>
              <w:t>700,473</w:t>
            </w:r>
          </w:p>
        </w:tc>
        <w:tc>
          <w:tcPr>
            <w:tcW w:w="0" w:type="auto"/>
          </w:tcPr>
          <w:p w:rsidR="00386B63" w:rsidRDefault="00386B63" w:rsidP="00BC65A1">
            <w:pPr>
              <w:pStyle w:val="NoSpacing"/>
            </w:pPr>
            <w:r>
              <w:t>Innovative</w:t>
            </w:r>
          </w:p>
        </w:tc>
      </w:tr>
      <w:tr w:rsidR="00386B63" w:rsidTr="00386B63">
        <w:tc>
          <w:tcPr>
            <w:tcW w:w="0" w:type="auto"/>
          </w:tcPr>
          <w:p w:rsidR="00386B63" w:rsidRPr="000343D3" w:rsidRDefault="00386B63" w:rsidP="00BC65A1">
            <w:pPr>
              <w:pStyle w:val="NoSpacing"/>
              <w:rPr>
                <w:b/>
              </w:rPr>
            </w:pPr>
            <w:r>
              <w:rPr>
                <w:b/>
              </w:rPr>
              <w:t>TOTAL</w:t>
            </w:r>
          </w:p>
        </w:tc>
        <w:tc>
          <w:tcPr>
            <w:tcW w:w="0" w:type="auto"/>
          </w:tcPr>
          <w:p w:rsidR="00386B63" w:rsidRPr="008717DB" w:rsidRDefault="004A1052" w:rsidP="00BC65A1">
            <w:pPr>
              <w:pStyle w:val="NoSpacing"/>
              <w:rPr>
                <w:b/>
              </w:rPr>
            </w:pPr>
            <w:r>
              <w:rPr>
                <w:b/>
              </w:rPr>
              <w:t>2,954,419</w:t>
            </w:r>
          </w:p>
        </w:tc>
        <w:tc>
          <w:tcPr>
            <w:tcW w:w="0" w:type="auto"/>
          </w:tcPr>
          <w:p w:rsidR="00386B63" w:rsidRDefault="00386B63" w:rsidP="00BC65A1">
            <w:pPr>
              <w:pStyle w:val="NoSpacing"/>
            </w:pPr>
          </w:p>
        </w:tc>
      </w:tr>
    </w:tbl>
    <w:p w:rsidR="00EF129C" w:rsidRDefault="00EF129C" w:rsidP="00EF129C">
      <w:pPr>
        <w:pStyle w:val="NoSpacing"/>
        <w:ind w:left="360"/>
      </w:pPr>
    </w:p>
    <w:p w:rsidR="00792D86" w:rsidRDefault="0006091E" w:rsidP="00792D86">
      <w:pPr>
        <w:pStyle w:val="NoSpacing"/>
        <w:numPr>
          <w:ilvl w:val="0"/>
          <w:numId w:val="7"/>
        </w:numPr>
      </w:pPr>
      <w:r>
        <w:rPr>
          <w:b/>
        </w:rPr>
        <w:t xml:space="preserve">Category 2: </w:t>
      </w:r>
      <w:r w:rsidR="00FE1862">
        <w:t>Two libraries from the 2012-2013 project have decided not to participate in this round</w:t>
      </w:r>
      <w:r>
        <w:t xml:space="preserve"> of collection analysis</w:t>
      </w:r>
      <w:r w:rsidR="00FE1862">
        <w:t>, but have agreed that their lists of retention commitments from that project may be incorporated into the 2015 data set. These are:</w:t>
      </w:r>
    </w:p>
    <w:p w:rsidR="0006091E" w:rsidRDefault="0006091E" w:rsidP="0006091E">
      <w:pPr>
        <w:pStyle w:val="NoSpacing"/>
        <w:ind w:left="360"/>
      </w:pPr>
    </w:p>
    <w:p w:rsidR="00792D86" w:rsidRDefault="00F8431C" w:rsidP="00792D86">
      <w:pPr>
        <w:pStyle w:val="NoSpacing"/>
        <w:numPr>
          <w:ilvl w:val="1"/>
          <w:numId w:val="7"/>
        </w:numPr>
      </w:pPr>
      <w:r>
        <w:t>Eastern Michigan University</w:t>
      </w:r>
    </w:p>
    <w:p w:rsidR="00792D86" w:rsidRPr="00712A40" w:rsidRDefault="00F8431C" w:rsidP="00792D86">
      <w:pPr>
        <w:pStyle w:val="NoSpacing"/>
        <w:numPr>
          <w:ilvl w:val="1"/>
          <w:numId w:val="7"/>
        </w:numPr>
      </w:pPr>
      <w:r>
        <w:t>Western Michigan University</w:t>
      </w:r>
    </w:p>
    <w:p w:rsidR="0037546A" w:rsidRDefault="0037546A" w:rsidP="000B5137">
      <w:pPr>
        <w:pStyle w:val="NoSpacing"/>
      </w:pPr>
    </w:p>
    <w:p w:rsidR="00792D86" w:rsidRDefault="00792D86" w:rsidP="000B5137">
      <w:pPr>
        <w:pStyle w:val="NoSpacing"/>
      </w:pPr>
      <w:r>
        <w:t>Each of these categories will require different approaches to using its data:</w:t>
      </w:r>
    </w:p>
    <w:p w:rsidR="00792D86" w:rsidRDefault="00792D86" w:rsidP="000B5137">
      <w:pPr>
        <w:pStyle w:val="NoSpacing"/>
      </w:pPr>
    </w:p>
    <w:p w:rsidR="00792D86" w:rsidRDefault="00792D86" w:rsidP="00792D86">
      <w:pPr>
        <w:pStyle w:val="NoSpacing"/>
        <w:numPr>
          <w:ilvl w:val="0"/>
          <w:numId w:val="4"/>
        </w:numPr>
      </w:pPr>
      <w:r>
        <w:t>For new collection analysis participants, extracts of in-scope bibliographic, item, and circulation data will be needed. These will be new data sets.</w:t>
      </w:r>
    </w:p>
    <w:p w:rsidR="00EF129C" w:rsidRDefault="00EF129C" w:rsidP="00EF129C">
      <w:pPr>
        <w:pStyle w:val="NoSpacing"/>
        <w:ind w:left="360"/>
      </w:pPr>
    </w:p>
    <w:p w:rsidR="000F577B" w:rsidRDefault="00FE1862" w:rsidP="00792D86">
      <w:pPr>
        <w:pStyle w:val="NoSpacing"/>
        <w:numPr>
          <w:ilvl w:val="0"/>
          <w:numId w:val="4"/>
        </w:numPr>
      </w:pPr>
      <w:r>
        <w:t xml:space="preserve">For EMU and WMU, </w:t>
      </w:r>
      <w:r w:rsidR="000F577B">
        <w:t>the retention commitment lists originally produced by SCS will need to be reconf</w:t>
      </w:r>
      <w:r w:rsidR="000460E6">
        <w:t>igured and reformatted to coordin</w:t>
      </w:r>
      <w:r w:rsidR="00A87308">
        <w:t>ate with the current round of full data</w:t>
      </w:r>
      <w:r w:rsidR="000F577B">
        <w:t xml:space="preserve"> participants. </w:t>
      </w:r>
      <w:r w:rsidR="00260D56">
        <w:t xml:space="preserve">These will be limited data sets, to be used only as targets for </w:t>
      </w:r>
      <w:r w:rsidR="00A87308">
        <w:t>the 2015 group of direct participants.</w:t>
      </w:r>
    </w:p>
    <w:p w:rsidR="00EF129C" w:rsidRDefault="00EF129C" w:rsidP="00EF129C">
      <w:pPr>
        <w:pStyle w:val="NoSpacing"/>
      </w:pPr>
    </w:p>
    <w:p w:rsidR="000F577B" w:rsidRDefault="000F577B" w:rsidP="000F577B">
      <w:pPr>
        <w:pStyle w:val="NoSpacing"/>
      </w:pPr>
      <w:r>
        <w:rPr>
          <w:b/>
        </w:rPr>
        <w:t>Scoping</w:t>
      </w:r>
    </w:p>
    <w:p w:rsidR="000F577B" w:rsidRDefault="00260D56" w:rsidP="000F577B">
      <w:pPr>
        <w:pStyle w:val="NoSpacing"/>
      </w:pPr>
      <w:r>
        <w:t>In initial</w:t>
      </w:r>
      <w:r w:rsidR="00A87308">
        <w:t xml:space="preserve"> discussions with MI-SPI</w:t>
      </w:r>
      <w:r w:rsidR="000F577B">
        <w:t xml:space="preserve"> project leaders, the following scope has been agreed:</w:t>
      </w:r>
    </w:p>
    <w:p w:rsidR="00260D56" w:rsidRDefault="00260D56" w:rsidP="000F577B">
      <w:pPr>
        <w:pStyle w:val="NoSpacing"/>
      </w:pPr>
    </w:p>
    <w:p w:rsidR="00A87308" w:rsidRDefault="00A87308" w:rsidP="00A87308">
      <w:pPr>
        <w:pStyle w:val="NoSpacing"/>
        <w:ind w:left="360"/>
      </w:pPr>
      <w:r w:rsidRPr="00A619E3">
        <w:t>In Scope</w:t>
      </w:r>
      <w:r>
        <w:t xml:space="preserve"> [to be confirmed]</w:t>
      </w:r>
      <w:r w:rsidRPr="00A619E3">
        <w:t>:</w:t>
      </w:r>
    </w:p>
    <w:p w:rsidR="00A87308" w:rsidRDefault="00A87308" w:rsidP="00A87308">
      <w:pPr>
        <w:pStyle w:val="NoSpacing"/>
        <w:numPr>
          <w:ilvl w:val="0"/>
          <w:numId w:val="13"/>
        </w:numPr>
        <w:ind w:left="1080"/>
      </w:pPr>
      <w:r>
        <w:t>Circulating print monographs</w:t>
      </w:r>
    </w:p>
    <w:p w:rsidR="00A87308" w:rsidRDefault="00A87308" w:rsidP="00A87308">
      <w:pPr>
        <w:pStyle w:val="NoSpacing"/>
        <w:numPr>
          <w:ilvl w:val="0"/>
          <w:numId w:val="13"/>
        </w:numPr>
        <w:ind w:left="1080"/>
      </w:pPr>
      <w:r>
        <w:t>Reference books</w:t>
      </w:r>
    </w:p>
    <w:p w:rsidR="00A87308" w:rsidRDefault="00A87308" w:rsidP="00A87308">
      <w:pPr>
        <w:pStyle w:val="NoSpacing"/>
        <w:ind w:left="360"/>
      </w:pPr>
    </w:p>
    <w:p w:rsidR="00A87308" w:rsidRPr="00A619E3" w:rsidRDefault="00A87308" w:rsidP="00A87308">
      <w:pPr>
        <w:pStyle w:val="NoSpacing"/>
        <w:ind w:left="360"/>
      </w:pPr>
      <w:r w:rsidRPr="00A619E3">
        <w:t>Out of Scope</w:t>
      </w:r>
      <w:r>
        <w:t xml:space="preserve"> [to be confirmed]</w:t>
      </w:r>
    </w:p>
    <w:p w:rsidR="00A87308" w:rsidRDefault="00A87308" w:rsidP="00A87308">
      <w:pPr>
        <w:pStyle w:val="NoSpacing"/>
        <w:numPr>
          <w:ilvl w:val="0"/>
          <w:numId w:val="14"/>
        </w:numPr>
        <w:ind w:left="1080"/>
      </w:pPr>
      <w:r>
        <w:t>Serials (anything with record type ‘s’)</w:t>
      </w:r>
    </w:p>
    <w:p w:rsidR="00A87308" w:rsidRDefault="00A87308" w:rsidP="00A87308">
      <w:pPr>
        <w:pStyle w:val="NoSpacing"/>
        <w:numPr>
          <w:ilvl w:val="0"/>
          <w:numId w:val="14"/>
        </w:numPr>
        <w:ind w:left="1080"/>
      </w:pPr>
      <w:r>
        <w:t>Special Collections</w:t>
      </w:r>
    </w:p>
    <w:p w:rsidR="00A87308" w:rsidRDefault="00A87308" w:rsidP="00A87308">
      <w:pPr>
        <w:pStyle w:val="NoSpacing"/>
        <w:numPr>
          <w:ilvl w:val="0"/>
          <w:numId w:val="14"/>
        </w:numPr>
        <w:ind w:left="1080"/>
      </w:pPr>
      <w:r>
        <w:t>Government Documents (other than those classed in LC or DDC)</w:t>
      </w:r>
    </w:p>
    <w:p w:rsidR="00A87308" w:rsidRDefault="00A87308" w:rsidP="00A87308">
      <w:pPr>
        <w:pStyle w:val="NoSpacing"/>
        <w:numPr>
          <w:ilvl w:val="0"/>
          <w:numId w:val="14"/>
        </w:numPr>
        <w:ind w:left="1080"/>
      </w:pPr>
      <w:r>
        <w:t>E-Books</w:t>
      </w:r>
    </w:p>
    <w:p w:rsidR="00A87308" w:rsidRDefault="00A87308" w:rsidP="00A87308">
      <w:pPr>
        <w:pStyle w:val="NoSpacing"/>
        <w:numPr>
          <w:ilvl w:val="0"/>
          <w:numId w:val="14"/>
        </w:numPr>
        <w:ind w:left="1080"/>
      </w:pPr>
      <w:r>
        <w:t>Micro-formats/Fiche</w:t>
      </w:r>
    </w:p>
    <w:p w:rsidR="00A87308" w:rsidRDefault="00A87308" w:rsidP="00A87308">
      <w:pPr>
        <w:pStyle w:val="NoSpacing"/>
        <w:numPr>
          <w:ilvl w:val="0"/>
          <w:numId w:val="14"/>
        </w:numPr>
        <w:ind w:left="1080"/>
      </w:pPr>
      <w:r>
        <w:t xml:space="preserve">Audio-Visual/Media </w:t>
      </w:r>
    </w:p>
    <w:p w:rsidR="00A87308" w:rsidRDefault="00A87308" w:rsidP="00A87308">
      <w:pPr>
        <w:pStyle w:val="NoSpacing"/>
        <w:numPr>
          <w:ilvl w:val="0"/>
          <w:numId w:val="14"/>
        </w:numPr>
        <w:ind w:left="1080"/>
      </w:pPr>
      <w:r>
        <w:t>Lost/Withdrawn items</w:t>
      </w:r>
    </w:p>
    <w:p w:rsidR="00A87308" w:rsidRDefault="00A87308" w:rsidP="00A87308">
      <w:pPr>
        <w:pStyle w:val="NoSpacing"/>
        <w:numPr>
          <w:ilvl w:val="0"/>
          <w:numId w:val="14"/>
        </w:numPr>
        <w:ind w:left="1080"/>
      </w:pPr>
      <w:r>
        <w:t>Theses/Dissertations</w:t>
      </w:r>
    </w:p>
    <w:p w:rsidR="00A87308" w:rsidRDefault="00A87308" w:rsidP="00A87308">
      <w:pPr>
        <w:pStyle w:val="NoSpacing"/>
        <w:numPr>
          <w:ilvl w:val="0"/>
          <w:numId w:val="14"/>
        </w:numPr>
        <w:ind w:left="1080"/>
      </w:pPr>
      <w:r>
        <w:t>Music scores</w:t>
      </w:r>
    </w:p>
    <w:p w:rsidR="00A87308" w:rsidRDefault="00A87308" w:rsidP="00A87308">
      <w:pPr>
        <w:pStyle w:val="NoSpacing"/>
        <w:numPr>
          <w:ilvl w:val="0"/>
          <w:numId w:val="14"/>
        </w:numPr>
        <w:ind w:left="1080"/>
      </w:pPr>
      <w:r>
        <w:t>Maps</w:t>
      </w:r>
    </w:p>
    <w:p w:rsidR="00EF129C" w:rsidRDefault="00132DB6" w:rsidP="000F577B">
      <w:pPr>
        <w:pStyle w:val="NoSpacing"/>
      </w:pPr>
      <w:r>
        <w:rPr>
          <w:b/>
        </w:rPr>
        <w:t xml:space="preserve">Project Outline and Sequencing </w:t>
      </w:r>
      <w:r>
        <w:t>(assumes funding available in June 2015)</w:t>
      </w:r>
    </w:p>
    <w:p w:rsidR="000460E6" w:rsidRPr="00132DB6" w:rsidRDefault="000460E6" w:rsidP="000F577B">
      <w:pPr>
        <w:pStyle w:val="NoSpacing"/>
      </w:pPr>
    </w:p>
    <w:tbl>
      <w:tblPr>
        <w:tblStyle w:val="TableGrid"/>
        <w:tblW w:w="0" w:type="auto"/>
        <w:tblLook w:val="04A0" w:firstRow="1" w:lastRow="0" w:firstColumn="1" w:lastColumn="0" w:noHBand="0" w:noVBand="1"/>
      </w:tblPr>
      <w:tblGrid>
        <w:gridCol w:w="8046"/>
        <w:gridCol w:w="1530"/>
      </w:tblGrid>
      <w:tr w:rsidR="002943A1" w:rsidTr="002B632B">
        <w:tc>
          <w:tcPr>
            <w:tcW w:w="0" w:type="auto"/>
          </w:tcPr>
          <w:p w:rsidR="00596DB8" w:rsidRDefault="00596DB8" w:rsidP="000F577B">
            <w:pPr>
              <w:pStyle w:val="NoSpacing"/>
              <w:rPr>
                <w:b/>
              </w:rPr>
            </w:pPr>
            <w:r w:rsidRPr="006F2196">
              <w:rPr>
                <w:b/>
              </w:rPr>
              <w:t>Task</w:t>
            </w:r>
          </w:p>
          <w:p w:rsidR="000460E6" w:rsidRPr="006F2196" w:rsidRDefault="000460E6" w:rsidP="000F577B">
            <w:pPr>
              <w:pStyle w:val="NoSpacing"/>
              <w:rPr>
                <w:b/>
              </w:rPr>
            </w:pPr>
          </w:p>
        </w:tc>
        <w:tc>
          <w:tcPr>
            <w:tcW w:w="0" w:type="auto"/>
          </w:tcPr>
          <w:p w:rsidR="00596DB8" w:rsidRPr="006F2196" w:rsidRDefault="00596DB8" w:rsidP="007C235E">
            <w:pPr>
              <w:pStyle w:val="NoSpacing"/>
              <w:jc w:val="center"/>
              <w:rPr>
                <w:b/>
              </w:rPr>
            </w:pPr>
            <w:r w:rsidRPr="006F2196">
              <w:rPr>
                <w:b/>
              </w:rPr>
              <w:t>Timeframe</w:t>
            </w:r>
          </w:p>
        </w:tc>
      </w:tr>
      <w:tr w:rsidR="002943A1" w:rsidTr="002B632B">
        <w:tc>
          <w:tcPr>
            <w:tcW w:w="0" w:type="auto"/>
          </w:tcPr>
          <w:p w:rsidR="00E97B82" w:rsidRDefault="00E97B82" w:rsidP="000F577B">
            <w:pPr>
              <w:pStyle w:val="NoSpacing"/>
              <w:rPr>
                <w:b/>
              </w:rPr>
            </w:pPr>
          </w:p>
          <w:p w:rsidR="000460E6" w:rsidRDefault="000460E6" w:rsidP="000F577B">
            <w:pPr>
              <w:pStyle w:val="NoSpacing"/>
            </w:pPr>
            <w:r>
              <w:rPr>
                <w:b/>
              </w:rPr>
              <w:t>Kick-off Meeting(s)</w:t>
            </w:r>
            <w:r w:rsidR="00260D56">
              <w:t xml:space="preserve"> </w:t>
            </w:r>
          </w:p>
          <w:p w:rsidR="000460E6" w:rsidRDefault="000460E6" w:rsidP="000F577B">
            <w:pPr>
              <w:pStyle w:val="NoSpacing"/>
            </w:pPr>
          </w:p>
          <w:p w:rsidR="00260D56" w:rsidRDefault="00260D56" w:rsidP="000F577B">
            <w:pPr>
              <w:pStyle w:val="NoSpacing"/>
            </w:pPr>
            <w:r>
              <w:t>If practical, plan and</w:t>
            </w:r>
            <w:r w:rsidR="00A87308">
              <w:t xml:space="preserve"> convene a group-wide meeting</w:t>
            </w:r>
            <w:r>
              <w:t xml:space="preserve"> to outline the project and explain the data requirements, decision-making process, and timeframes.</w:t>
            </w:r>
            <w:r w:rsidR="000460E6">
              <w:t xml:space="preserve"> This would include representatives from as many participating libraries as possible.</w:t>
            </w:r>
          </w:p>
          <w:p w:rsidR="000460E6" w:rsidRPr="00260D56" w:rsidRDefault="000460E6" w:rsidP="000F577B">
            <w:pPr>
              <w:pStyle w:val="NoSpacing"/>
            </w:pPr>
          </w:p>
        </w:tc>
        <w:tc>
          <w:tcPr>
            <w:tcW w:w="0" w:type="auto"/>
          </w:tcPr>
          <w:p w:rsidR="00E97B82" w:rsidRDefault="00E97B82" w:rsidP="007C235E">
            <w:pPr>
              <w:pStyle w:val="NoSpacing"/>
              <w:jc w:val="center"/>
            </w:pPr>
          </w:p>
          <w:p w:rsidR="00260D56" w:rsidRDefault="00132DB6" w:rsidP="007C235E">
            <w:pPr>
              <w:pStyle w:val="NoSpacing"/>
              <w:jc w:val="center"/>
            </w:pPr>
            <w:r>
              <w:t>June/July 2015</w:t>
            </w:r>
          </w:p>
        </w:tc>
      </w:tr>
      <w:tr w:rsidR="002943A1" w:rsidTr="002B632B">
        <w:tc>
          <w:tcPr>
            <w:tcW w:w="0" w:type="auto"/>
          </w:tcPr>
          <w:p w:rsidR="00E97B82" w:rsidRDefault="00E97B82" w:rsidP="000F577B">
            <w:pPr>
              <w:pStyle w:val="NoSpacing"/>
              <w:rPr>
                <w:b/>
              </w:rPr>
            </w:pPr>
          </w:p>
          <w:p w:rsidR="000460E6" w:rsidRDefault="00140108" w:rsidP="000F577B">
            <w:pPr>
              <w:pStyle w:val="NoSpacing"/>
            </w:pPr>
            <w:r>
              <w:rPr>
                <w:b/>
              </w:rPr>
              <w:t>Establish Project Leadership and Comm</w:t>
            </w:r>
            <w:r w:rsidR="000460E6">
              <w:rPr>
                <w:b/>
              </w:rPr>
              <w:t>unication</w:t>
            </w:r>
            <w:r>
              <w:t xml:space="preserve"> </w:t>
            </w:r>
          </w:p>
          <w:p w:rsidR="000460E6" w:rsidRDefault="000460E6" w:rsidP="000F577B">
            <w:pPr>
              <w:pStyle w:val="NoSpacing"/>
            </w:pPr>
          </w:p>
          <w:p w:rsidR="00140108" w:rsidRDefault="00140108" w:rsidP="000F577B">
            <w:pPr>
              <w:pStyle w:val="NoSpacing"/>
            </w:pPr>
            <w:r>
              <w:t xml:space="preserve">This will be a shared </w:t>
            </w:r>
            <w:r w:rsidR="00A87308">
              <w:t xml:space="preserve">undertaking between </w:t>
            </w:r>
            <w:r w:rsidR="003A6F08">
              <w:t>OCLC/</w:t>
            </w:r>
            <w:r w:rsidR="00A87308">
              <w:t>SCS, MI-SPI and MCLS</w:t>
            </w:r>
            <w:r>
              <w:t xml:space="preserve">. </w:t>
            </w:r>
          </w:p>
          <w:p w:rsidR="000460E6" w:rsidRPr="00140108" w:rsidRDefault="000460E6" w:rsidP="000F577B">
            <w:pPr>
              <w:pStyle w:val="NoSpacing"/>
            </w:pPr>
          </w:p>
        </w:tc>
        <w:tc>
          <w:tcPr>
            <w:tcW w:w="0" w:type="auto"/>
          </w:tcPr>
          <w:p w:rsidR="00E97B82" w:rsidRDefault="00E97B82" w:rsidP="007C235E">
            <w:pPr>
              <w:pStyle w:val="NoSpacing"/>
              <w:jc w:val="center"/>
            </w:pPr>
          </w:p>
          <w:p w:rsidR="00140108" w:rsidRDefault="00132DB6" w:rsidP="007C235E">
            <w:pPr>
              <w:pStyle w:val="NoSpacing"/>
              <w:jc w:val="center"/>
            </w:pPr>
            <w:r>
              <w:t>June/July 2015</w:t>
            </w:r>
          </w:p>
        </w:tc>
      </w:tr>
      <w:tr w:rsidR="002943A1" w:rsidTr="002B632B">
        <w:tc>
          <w:tcPr>
            <w:tcW w:w="0" w:type="auto"/>
          </w:tcPr>
          <w:p w:rsidR="00E97B82" w:rsidRDefault="00E97B82" w:rsidP="000F577B">
            <w:pPr>
              <w:pStyle w:val="NoSpacing"/>
              <w:rPr>
                <w:b/>
              </w:rPr>
            </w:pPr>
          </w:p>
          <w:p w:rsidR="000460E6" w:rsidRDefault="003A5C50" w:rsidP="000F577B">
            <w:pPr>
              <w:pStyle w:val="NoSpacing"/>
            </w:pPr>
            <w:r>
              <w:rPr>
                <w:b/>
              </w:rPr>
              <w:t xml:space="preserve">Category 1 Libraries: </w:t>
            </w:r>
            <w:r w:rsidRPr="00260D56">
              <w:rPr>
                <w:b/>
              </w:rPr>
              <w:t xml:space="preserve">Complete </w:t>
            </w:r>
            <w:r w:rsidR="00A87308">
              <w:rPr>
                <w:b/>
              </w:rPr>
              <w:t>OCLC/</w:t>
            </w:r>
            <w:r w:rsidR="00260D56" w:rsidRPr="00260D56">
              <w:rPr>
                <w:b/>
              </w:rPr>
              <w:t xml:space="preserve">SCS </w:t>
            </w:r>
            <w:r w:rsidR="00596DB8" w:rsidRPr="00260D56">
              <w:rPr>
                <w:b/>
              </w:rPr>
              <w:t>Cataloging &amp; Dat</w:t>
            </w:r>
            <w:r w:rsidRPr="00260D56">
              <w:rPr>
                <w:b/>
              </w:rPr>
              <w:t>a Questionnaire</w:t>
            </w:r>
            <w:r w:rsidR="00260D56">
              <w:t xml:space="preserve"> </w:t>
            </w:r>
          </w:p>
          <w:p w:rsidR="000460E6" w:rsidRDefault="000460E6" w:rsidP="000F577B">
            <w:pPr>
              <w:pStyle w:val="NoSpacing"/>
            </w:pPr>
          </w:p>
          <w:p w:rsidR="00596DB8" w:rsidRDefault="00260D56" w:rsidP="000F577B">
            <w:pPr>
              <w:pStyle w:val="NoSpacing"/>
            </w:pPr>
            <w:r>
              <w:t>This will allow us to confirm record counts, assess variability of item and circulation data, to understand each library’s scheme of location and item type codes, and to assess classification and call number variations. Completion of this task is required prior to delivery of each library’s data extract.</w:t>
            </w:r>
          </w:p>
          <w:p w:rsidR="000460E6" w:rsidRDefault="000460E6" w:rsidP="000F577B">
            <w:pPr>
              <w:pStyle w:val="NoSpacing"/>
            </w:pPr>
          </w:p>
        </w:tc>
        <w:tc>
          <w:tcPr>
            <w:tcW w:w="0" w:type="auto"/>
          </w:tcPr>
          <w:p w:rsidR="00E97B82" w:rsidRDefault="00E97B82" w:rsidP="007C235E">
            <w:pPr>
              <w:pStyle w:val="NoSpacing"/>
              <w:jc w:val="center"/>
            </w:pPr>
          </w:p>
          <w:p w:rsidR="002943A1" w:rsidRDefault="002943A1" w:rsidP="007C235E">
            <w:pPr>
              <w:pStyle w:val="NoSpacing"/>
              <w:jc w:val="center"/>
            </w:pPr>
            <w:r>
              <w:t>July-August</w:t>
            </w:r>
          </w:p>
          <w:p w:rsidR="00596DB8" w:rsidRDefault="00132DB6" w:rsidP="007C235E">
            <w:pPr>
              <w:pStyle w:val="NoSpacing"/>
              <w:jc w:val="center"/>
            </w:pPr>
            <w:r>
              <w:t>2015</w:t>
            </w:r>
          </w:p>
        </w:tc>
      </w:tr>
      <w:tr w:rsidR="002943A1" w:rsidTr="002B632B">
        <w:tc>
          <w:tcPr>
            <w:tcW w:w="0" w:type="auto"/>
          </w:tcPr>
          <w:p w:rsidR="00E97B82" w:rsidRDefault="00E97B82" w:rsidP="000F577B">
            <w:pPr>
              <w:pStyle w:val="NoSpacing"/>
              <w:rPr>
                <w:b/>
              </w:rPr>
            </w:pPr>
          </w:p>
          <w:p w:rsidR="000460E6" w:rsidRDefault="00596DB8" w:rsidP="000F577B">
            <w:pPr>
              <w:pStyle w:val="NoSpacing"/>
            </w:pPr>
            <w:r w:rsidRPr="00157A40">
              <w:rPr>
                <w:b/>
              </w:rPr>
              <w:t>Category 1 Libraries</w:t>
            </w:r>
            <w:r w:rsidR="003A5C50">
              <w:rPr>
                <w:b/>
              </w:rPr>
              <w:t xml:space="preserve">: Obtain </w:t>
            </w:r>
            <w:r w:rsidR="007E00CB">
              <w:rPr>
                <w:b/>
              </w:rPr>
              <w:t>Bibliographic</w:t>
            </w:r>
            <w:r w:rsidR="003A5C50">
              <w:rPr>
                <w:b/>
              </w:rPr>
              <w:t>, Item, Circ</w:t>
            </w:r>
            <w:r w:rsidR="000460E6">
              <w:rPr>
                <w:b/>
              </w:rPr>
              <w:t>ulation</w:t>
            </w:r>
            <w:r w:rsidR="003A5C50">
              <w:rPr>
                <w:b/>
              </w:rPr>
              <w:t xml:space="preserve"> Data</w:t>
            </w:r>
            <w:r>
              <w:t xml:space="preserve"> </w:t>
            </w:r>
          </w:p>
          <w:p w:rsidR="000460E6" w:rsidRDefault="000460E6" w:rsidP="000F577B">
            <w:pPr>
              <w:pStyle w:val="NoSpacing"/>
            </w:pPr>
          </w:p>
          <w:p w:rsidR="000460E6" w:rsidRDefault="000460E6" w:rsidP="00E97B82">
            <w:pPr>
              <w:pStyle w:val="NoSpacing"/>
            </w:pPr>
            <w:r>
              <w:t>T</w:t>
            </w:r>
            <w:r w:rsidR="00596DB8">
              <w:t>his requires direct conversations</w:t>
            </w:r>
            <w:r>
              <w:t xml:space="preserve"> between </w:t>
            </w:r>
            <w:r w:rsidR="00A87308">
              <w:t>OCLC/</w:t>
            </w:r>
            <w:r>
              <w:t xml:space="preserve">SCS and </w:t>
            </w:r>
            <w:r w:rsidR="00596DB8">
              <w:t>each library (</w:t>
            </w:r>
            <w:r>
              <w:t xml:space="preserve">typically with representatives from </w:t>
            </w:r>
            <w:r w:rsidR="00596DB8">
              <w:t>Systems, Cataloging, Collections)</w:t>
            </w:r>
            <w:r>
              <w:t>,</w:t>
            </w:r>
            <w:r w:rsidR="00157A40">
              <w:t xml:space="preserve"> modifications to export profiles, exchange of test files, validation of files, and error resolution.</w:t>
            </w:r>
            <w:r w:rsidR="007E00CB">
              <w:t xml:space="preserve"> </w:t>
            </w:r>
          </w:p>
          <w:p w:rsidR="008E18FC" w:rsidRDefault="008E18FC" w:rsidP="00E97B82">
            <w:pPr>
              <w:pStyle w:val="NoSpacing"/>
            </w:pPr>
          </w:p>
        </w:tc>
        <w:tc>
          <w:tcPr>
            <w:tcW w:w="0" w:type="auto"/>
          </w:tcPr>
          <w:p w:rsidR="00E97B82" w:rsidRDefault="00E97B82" w:rsidP="007C235E">
            <w:pPr>
              <w:pStyle w:val="NoSpacing"/>
              <w:jc w:val="center"/>
            </w:pPr>
          </w:p>
          <w:p w:rsidR="002943A1" w:rsidRDefault="002943A1" w:rsidP="007C235E">
            <w:pPr>
              <w:pStyle w:val="NoSpacing"/>
              <w:jc w:val="center"/>
            </w:pPr>
            <w:r>
              <w:t>July – August</w:t>
            </w:r>
          </w:p>
          <w:p w:rsidR="00596DB8" w:rsidRDefault="00132DB6" w:rsidP="007C235E">
            <w:pPr>
              <w:pStyle w:val="NoSpacing"/>
              <w:jc w:val="center"/>
            </w:pPr>
            <w:r>
              <w:t>2015</w:t>
            </w:r>
          </w:p>
        </w:tc>
      </w:tr>
      <w:tr w:rsidR="002943A1" w:rsidTr="002B632B">
        <w:tc>
          <w:tcPr>
            <w:tcW w:w="0" w:type="auto"/>
          </w:tcPr>
          <w:p w:rsidR="00E97B82" w:rsidRDefault="00E97B82" w:rsidP="007E00CB">
            <w:pPr>
              <w:pStyle w:val="NoSpacing"/>
              <w:rPr>
                <w:b/>
              </w:rPr>
            </w:pPr>
          </w:p>
          <w:p w:rsidR="000460E6" w:rsidRDefault="00A87308" w:rsidP="007E00CB">
            <w:pPr>
              <w:pStyle w:val="NoSpacing"/>
            </w:pPr>
            <w:r>
              <w:rPr>
                <w:b/>
              </w:rPr>
              <w:t>Category 2</w:t>
            </w:r>
            <w:r w:rsidR="003A5C50" w:rsidRPr="003A5C50">
              <w:rPr>
                <w:b/>
              </w:rPr>
              <w:t xml:space="preserve"> Libraries: </w:t>
            </w:r>
            <w:r w:rsidR="00596DB8" w:rsidRPr="003A5C50">
              <w:rPr>
                <w:b/>
              </w:rPr>
              <w:t xml:space="preserve">Configure </w:t>
            </w:r>
            <w:r w:rsidR="003A5C50" w:rsidRPr="003A5C50">
              <w:rPr>
                <w:b/>
              </w:rPr>
              <w:t xml:space="preserve">Retention Commitments </w:t>
            </w:r>
            <w:r w:rsidR="00596DB8" w:rsidRPr="003A5C50">
              <w:rPr>
                <w:b/>
              </w:rPr>
              <w:t>Data for Matching</w:t>
            </w:r>
            <w:r w:rsidR="003A5C50">
              <w:t xml:space="preserve"> </w:t>
            </w:r>
          </w:p>
          <w:p w:rsidR="000460E6" w:rsidRDefault="000460E6" w:rsidP="007E00CB">
            <w:pPr>
              <w:pStyle w:val="NoSpacing"/>
            </w:pPr>
          </w:p>
          <w:p w:rsidR="000460E6" w:rsidRDefault="00A87308" w:rsidP="007E00CB">
            <w:pPr>
              <w:pStyle w:val="NoSpacing"/>
            </w:pPr>
            <w:r>
              <w:t>The EMU and WMU</w:t>
            </w:r>
            <w:r w:rsidR="007E00CB">
              <w:t xml:space="preserve"> retention commitment lists will need to be reviewed for consistency. D</w:t>
            </w:r>
            <w:r w:rsidR="003A5C50">
              <w:t>ata sele</w:t>
            </w:r>
            <w:r w:rsidR="007E00CB">
              <w:t>ction and update may be needed (</w:t>
            </w:r>
            <w:r w:rsidR="003A5C50">
              <w:t>especially of OCLC number</w:t>
            </w:r>
            <w:r w:rsidR="007E00CB">
              <w:t>s)</w:t>
            </w:r>
            <w:r w:rsidR="00F80659">
              <w:t xml:space="preserve"> to assure accurate matching. </w:t>
            </w:r>
          </w:p>
          <w:p w:rsidR="000460E6" w:rsidRDefault="000460E6" w:rsidP="007E00CB">
            <w:pPr>
              <w:pStyle w:val="NoSpacing"/>
            </w:pPr>
          </w:p>
          <w:p w:rsidR="00596DB8" w:rsidRDefault="007E00CB" w:rsidP="007E00CB">
            <w:pPr>
              <w:pStyle w:val="NoSpacing"/>
            </w:pPr>
            <w:r>
              <w:t>Scoping discussions and adjustments may be needed, e.g., to decide whether to include items retained in non-circulating</w:t>
            </w:r>
            <w:r w:rsidR="00A87308">
              <w:t xml:space="preserve"> locations. </w:t>
            </w:r>
          </w:p>
          <w:p w:rsidR="000460E6" w:rsidRPr="003A5C50" w:rsidRDefault="000460E6" w:rsidP="007E00CB">
            <w:pPr>
              <w:pStyle w:val="NoSpacing"/>
            </w:pPr>
          </w:p>
        </w:tc>
        <w:tc>
          <w:tcPr>
            <w:tcW w:w="0" w:type="auto"/>
          </w:tcPr>
          <w:p w:rsidR="00E97B82" w:rsidRDefault="00E97B82" w:rsidP="007C235E">
            <w:pPr>
              <w:pStyle w:val="NoSpacing"/>
              <w:jc w:val="center"/>
            </w:pPr>
          </w:p>
          <w:p w:rsidR="00596DB8" w:rsidRDefault="00132DB6" w:rsidP="007C235E">
            <w:pPr>
              <w:pStyle w:val="NoSpacing"/>
              <w:jc w:val="center"/>
            </w:pPr>
            <w:r>
              <w:t>July-August 2015</w:t>
            </w:r>
          </w:p>
        </w:tc>
      </w:tr>
      <w:tr w:rsidR="002943A1" w:rsidTr="002B632B">
        <w:tc>
          <w:tcPr>
            <w:tcW w:w="0" w:type="auto"/>
          </w:tcPr>
          <w:p w:rsidR="0006091E" w:rsidRDefault="0006091E" w:rsidP="000F577B">
            <w:pPr>
              <w:pStyle w:val="NoSpacing"/>
              <w:rPr>
                <w:b/>
              </w:rPr>
            </w:pPr>
          </w:p>
          <w:p w:rsidR="000460E6" w:rsidRDefault="007E00CB" w:rsidP="000F577B">
            <w:pPr>
              <w:pStyle w:val="NoSpacing"/>
              <w:rPr>
                <w:b/>
              </w:rPr>
            </w:pPr>
            <w:r>
              <w:rPr>
                <w:b/>
              </w:rPr>
              <w:t>Assess and optimize group-wid</w:t>
            </w:r>
            <w:r w:rsidR="000460E6">
              <w:rPr>
                <w:b/>
              </w:rPr>
              <w:t>e data strategy</w:t>
            </w:r>
            <w:r>
              <w:rPr>
                <w:b/>
              </w:rPr>
              <w:t xml:space="preserve"> </w:t>
            </w:r>
          </w:p>
          <w:p w:rsidR="000460E6" w:rsidRDefault="000460E6" w:rsidP="000F577B">
            <w:pPr>
              <w:pStyle w:val="NoSpacing"/>
              <w:rPr>
                <w:b/>
              </w:rPr>
            </w:pPr>
          </w:p>
          <w:p w:rsidR="000460E6" w:rsidRDefault="007E00CB" w:rsidP="000F577B">
            <w:pPr>
              <w:pStyle w:val="NoSpacing"/>
            </w:pPr>
            <w:r>
              <w:t>There is likely to be significant variation in the extent of circulation data. Some collections or portions of collection will likely be classed in DDC, NLM, or local classif</w:t>
            </w:r>
            <w:r w:rsidR="00A87308">
              <w:t>ication schemes. Some items may</w:t>
            </w:r>
            <w:r>
              <w:t xml:space="preserve"> be held in storage locations. Retention </w:t>
            </w:r>
            <w:r w:rsidR="00A87308">
              <w:t>commitments from Category 2</w:t>
            </w:r>
            <w:r>
              <w:t xml:space="preserve"> libraries will require a new comparison and weighting technique. </w:t>
            </w:r>
          </w:p>
          <w:p w:rsidR="000460E6" w:rsidRDefault="000460E6" w:rsidP="000F577B">
            <w:pPr>
              <w:pStyle w:val="NoSpacing"/>
            </w:pPr>
          </w:p>
          <w:p w:rsidR="00596DB8" w:rsidRDefault="007E00CB" w:rsidP="000F577B">
            <w:pPr>
              <w:pStyle w:val="NoSpacing"/>
            </w:pPr>
            <w:r>
              <w:t>Based on the Catal</w:t>
            </w:r>
            <w:r w:rsidR="00140108">
              <w:t>oging &amp; Data Questionnaires, test files, and da</w:t>
            </w:r>
            <w:r w:rsidR="00A87308">
              <w:t>ta already on hand, OCLC/SCS and MI-SPI</w:t>
            </w:r>
            <w:r w:rsidR="00140108">
              <w:t xml:space="preserve"> will need to determine how best to manage data inconsistencies and what trade-offs the group is willing to make. </w:t>
            </w:r>
          </w:p>
          <w:p w:rsidR="000460E6" w:rsidRPr="007E00CB" w:rsidRDefault="000460E6" w:rsidP="000F577B">
            <w:pPr>
              <w:pStyle w:val="NoSpacing"/>
            </w:pPr>
          </w:p>
        </w:tc>
        <w:tc>
          <w:tcPr>
            <w:tcW w:w="0" w:type="auto"/>
          </w:tcPr>
          <w:p w:rsidR="00E97B82" w:rsidRDefault="00E97B82" w:rsidP="007C235E">
            <w:pPr>
              <w:pStyle w:val="NoSpacing"/>
              <w:jc w:val="center"/>
            </w:pPr>
          </w:p>
          <w:p w:rsidR="0006091E" w:rsidRDefault="0006091E" w:rsidP="007C235E">
            <w:pPr>
              <w:pStyle w:val="NoSpacing"/>
              <w:jc w:val="center"/>
            </w:pPr>
          </w:p>
          <w:p w:rsidR="0006091E" w:rsidRDefault="0006091E" w:rsidP="007C235E">
            <w:pPr>
              <w:pStyle w:val="NoSpacing"/>
              <w:jc w:val="center"/>
            </w:pPr>
          </w:p>
          <w:p w:rsidR="0006091E" w:rsidRDefault="0006091E" w:rsidP="007C235E">
            <w:pPr>
              <w:pStyle w:val="NoSpacing"/>
              <w:jc w:val="center"/>
            </w:pPr>
          </w:p>
          <w:p w:rsidR="00596DB8" w:rsidRDefault="002943A1" w:rsidP="007C235E">
            <w:pPr>
              <w:pStyle w:val="NoSpacing"/>
              <w:jc w:val="center"/>
            </w:pPr>
            <w:r>
              <w:t>August-September</w:t>
            </w:r>
          </w:p>
          <w:p w:rsidR="00132DB6" w:rsidRDefault="00132DB6" w:rsidP="007C235E">
            <w:pPr>
              <w:pStyle w:val="NoSpacing"/>
              <w:jc w:val="center"/>
            </w:pPr>
            <w:r>
              <w:t>2015</w:t>
            </w:r>
          </w:p>
        </w:tc>
      </w:tr>
      <w:tr w:rsidR="002943A1" w:rsidTr="002B632B">
        <w:tc>
          <w:tcPr>
            <w:tcW w:w="0" w:type="auto"/>
          </w:tcPr>
          <w:p w:rsidR="00E97B82" w:rsidRDefault="00E97B82" w:rsidP="000F577B">
            <w:pPr>
              <w:pStyle w:val="NoSpacing"/>
              <w:rPr>
                <w:b/>
              </w:rPr>
            </w:pPr>
          </w:p>
          <w:p w:rsidR="000460E6" w:rsidRDefault="00A87308" w:rsidP="000F577B">
            <w:pPr>
              <w:pStyle w:val="NoSpacing"/>
              <w:rPr>
                <w:b/>
              </w:rPr>
            </w:pPr>
            <w:r>
              <w:rPr>
                <w:b/>
              </w:rPr>
              <w:t xml:space="preserve">Category 1 </w:t>
            </w:r>
            <w:r w:rsidR="000460E6">
              <w:rPr>
                <w:b/>
              </w:rPr>
              <w:t>Libraries</w:t>
            </w:r>
            <w:r w:rsidR="003A5C50">
              <w:rPr>
                <w:b/>
              </w:rPr>
              <w:t xml:space="preserve"> </w:t>
            </w:r>
          </w:p>
          <w:p w:rsidR="000460E6" w:rsidRDefault="000460E6" w:rsidP="000F577B">
            <w:pPr>
              <w:pStyle w:val="NoSpacing"/>
              <w:rPr>
                <w:b/>
              </w:rPr>
            </w:pPr>
          </w:p>
          <w:p w:rsidR="00596DB8" w:rsidRDefault="00596DB8" w:rsidP="000F577B">
            <w:pPr>
              <w:pStyle w:val="NoSpacing"/>
            </w:pPr>
            <w:r>
              <w:t>Obtain or validate OCLC numbers</w:t>
            </w:r>
            <w:r w:rsidR="003A5C50">
              <w:t xml:space="preserve"> for </w:t>
            </w:r>
            <w:r w:rsidR="004A1052">
              <w:t>approximately 2.95</w:t>
            </w:r>
            <w:r>
              <w:t xml:space="preserve"> million bib records</w:t>
            </w:r>
            <w:r w:rsidR="000460E6">
              <w:t>.</w:t>
            </w:r>
          </w:p>
          <w:p w:rsidR="000460E6" w:rsidRDefault="000460E6" w:rsidP="000F577B">
            <w:pPr>
              <w:pStyle w:val="NoSpacing"/>
            </w:pPr>
          </w:p>
        </w:tc>
        <w:tc>
          <w:tcPr>
            <w:tcW w:w="0" w:type="auto"/>
          </w:tcPr>
          <w:p w:rsidR="00E97B82" w:rsidRDefault="00E97B82" w:rsidP="007C235E">
            <w:pPr>
              <w:pStyle w:val="NoSpacing"/>
              <w:jc w:val="center"/>
            </w:pPr>
          </w:p>
          <w:p w:rsidR="00A52A49" w:rsidRDefault="002943A1" w:rsidP="007C235E">
            <w:pPr>
              <w:pStyle w:val="NoSpacing"/>
              <w:jc w:val="center"/>
            </w:pPr>
            <w:r>
              <w:t>September</w:t>
            </w:r>
          </w:p>
          <w:p w:rsidR="00596DB8" w:rsidRDefault="00132DB6" w:rsidP="007C235E">
            <w:pPr>
              <w:pStyle w:val="NoSpacing"/>
              <w:jc w:val="center"/>
            </w:pPr>
            <w:r>
              <w:t xml:space="preserve"> 2015</w:t>
            </w:r>
          </w:p>
        </w:tc>
      </w:tr>
      <w:tr w:rsidR="002943A1" w:rsidTr="002B632B">
        <w:tc>
          <w:tcPr>
            <w:tcW w:w="0" w:type="auto"/>
          </w:tcPr>
          <w:p w:rsidR="00E97B82" w:rsidRDefault="00E97B82" w:rsidP="000F577B">
            <w:pPr>
              <w:pStyle w:val="NoSpacing"/>
              <w:rPr>
                <w:b/>
              </w:rPr>
            </w:pPr>
          </w:p>
          <w:p w:rsidR="000460E6" w:rsidRDefault="00A87308" w:rsidP="000F577B">
            <w:pPr>
              <w:pStyle w:val="NoSpacing"/>
              <w:rPr>
                <w:b/>
              </w:rPr>
            </w:pPr>
            <w:r>
              <w:rPr>
                <w:b/>
              </w:rPr>
              <w:t xml:space="preserve">Category 1 </w:t>
            </w:r>
            <w:r w:rsidR="000460E6">
              <w:rPr>
                <w:b/>
              </w:rPr>
              <w:t>Libraries</w:t>
            </w:r>
            <w:r w:rsidR="00F80659">
              <w:rPr>
                <w:b/>
              </w:rPr>
              <w:t xml:space="preserve"> </w:t>
            </w:r>
          </w:p>
          <w:p w:rsidR="000460E6" w:rsidRDefault="000460E6" w:rsidP="000F577B">
            <w:pPr>
              <w:pStyle w:val="NoSpacing"/>
              <w:rPr>
                <w:b/>
              </w:rPr>
            </w:pPr>
          </w:p>
          <w:p w:rsidR="00596DB8" w:rsidRDefault="00F80659" w:rsidP="000F577B">
            <w:pPr>
              <w:pStyle w:val="NoSpacing"/>
            </w:pPr>
            <w:r>
              <w:t>Perform WorldCat Holdings L</w:t>
            </w:r>
            <w:r w:rsidR="00A87308">
              <w:t>ookups at US level, and against MI-SPI defined comparator groups.</w:t>
            </w:r>
          </w:p>
          <w:p w:rsidR="000460E6" w:rsidRPr="00F80659" w:rsidRDefault="000460E6" w:rsidP="000F577B">
            <w:pPr>
              <w:pStyle w:val="NoSpacing"/>
            </w:pPr>
          </w:p>
        </w:tc>
        <w:tc>
          <w:tcPr>
            <w:tcW w:w="0" w:type="auto"/>
          </w:tcPr>
          <w:p w:rsidR="00E97B82" w:rsidRDefault="00E97B82" w:rsidP="007C235E">
            <w:pPr>
              <w:pStyle w:val="NoSpacing"/>
              <w:jc w:val="center"/>
            </w:pPr>
          </w:p>
          <w:p w:rsidR="002943A1" w:rsidRDefault="002943A1" w:rsidP="007C235E">
            <w:pPr>
              <w:pStyle w:val="NoSpacing"/>
              <w:jc w:val="center"/>
            </w:pPr>
            <w:r>
              <w:t>September</w:t>
            </w:r>
            <w:r w:rsidR="00132DB6">
              <w:t xml:space="preserve"> </w:t>
            </w:r>
          </w:p>
          <w:p w:rsidR="00596DB8" w:rsidRDefault="00132DB6" w:rsidP="007C235E">
            <w:pPr>
              <w:pStyle w:val="NoSpacing"/>
              <w:jc w:val="center"/>
            </w:pPr>
            <w:r>
              <w:t>2015</w:t>
            </w:r>
          </w:p>
        </w:tc>
      </w:tr>
      <w:tr w:rsidR="002943A1" w:rsidTr="002B632B">
        <w:tc>
          <w:tcPr>
            <w:tcW w:w="0" w:type="auto"/>
          </w:tcPr>
          <w:p w:rsidR="00E97B82" w:rsidRDefault="00E97B82" w:rsidP="00795BC2">
            <w:pPr>
              <w:pStyle w:val="NoSpacing"/>
              <w:rPr>
                <w:b/>
              </w:rPr>
            </w:pPr>
          </w:p>
          <w:p w:rsidR="000460E6" w:rsidRDefault="00A87308" w:rsidP="00795BC2">
            <w:pPr>
              <w:pStyle w:val="NoSpacing"/>
              <w:rPr>
                <w:b/>
              </w:rPr>
            </w:pPr>
            <w:r>
              <w:rPr>
                <w:b/>
              </w:rPr>
              <w:t xml:space="preserve">Category 1 </w:t>
            </w:r>
            <w:r w:rsidR="000460E6">
              <w:rPr>
                <w:b/>
              </w:rPr>
              <w:t>Libraries</w:t>
            </w:r>
            <w:r w:rsidR="00F80659">
              <w:rPr>
                <w:b/>
              </w:rPr>
              <w:t xml:space="preserve"> </w:t>
            </w:r>
          </w:p>
          <w:p w:rsidR="000460E6" w:rsidRDefault="000460E6" w:rsidP="00795BC2">
            <w:pPr>
              <w:pStyle w:val="NoSpacing"/>
              <w:rPr>
                <w:b/>
              </w:rPr>
            </w:pPr>
          </w:p>
          <w:p w:rsidR="00F80659" w:rsidRDefault="00F80659" w:rsidP="00795BC2">
            <w:pPr>
              <w:pStyle w:val="NoSpacing"/>
            </w:pPr>
            <w:r>
              <w:t>Perform HathiTrust matching, separating in-copyright and public domain results.</w:t>
            </w:r>
          </w:p>
          <w:p w:rsidR="000460E6" w:rsidRPr="00F80659" w:rsidRDefault="000460E6" w:rsidP="00795BC2">
            <w:pPr>
              <w:pStyle w:val="NoSpacing"/>
            </w:pPr>
          </w:p>
        </w:tc>
        <w:tc>
          <w:tcPr>
            <w:tcW w:w="0" w:type="auto"/>
          </w:tcPr>
          <w:p w:rsidR="00E97B82" w:rsidRDefault="00E97B82" w:rsidP="007C235E">
            <w:pPr>
              <w:pStyle w:val="NoSpacing"/>
              <w:jc w:val="center"/>
            </w:pPr>
          </w:p>
          <w:p w:rsidR="002943A1" w:rsidRDefault="002943A1" w:rsidP="007C235E">
            <w:pPr>
              <w:pStyle w:val="NoSpacing"/>
              <w:jc w:val="center"/>
            </w:pPr>
            <w:r>
              <w:t>September</w:t>
            </w:r>
          </w:p>
          <w:p w:rsidR="00F80659" w:rsidRDefault="00132DB6" w:rsidP="007C235E">
            <w:pPr>
              <w:pStyle w:val="NoSpacing"/>
              <w:jc w:val="center"/>
            </w:pPr>
            <w:r>
              <w:t>2015</w:t>
            </w:r>
          </w:p>
          <w:p w:rsidR="0031276D" w:rsidRDefault="0031276D" w:rsidP="007C235E">
            <w:pPr>
              <w:pStyle w:val="NoSpacing"/>
              <w:jc w:val="center"/>
            </w:pPr>
          </w:p>
          <w:p w:rsidR="0031276D" w:rsidRDefault="0031276D" w:rsidP="007C235E">
            <w:pPr>
              <w:pStyle w:val="NoSpacing"/>
              <w:jc w:val="center"/>
            </w:pPr>
          </w:p>
        </w:tc>
      </w:tr>
      <w:tr w:rsidR="002943A1" w:rsidTr="002B632B">
        <w:tc>
          <w:tcPr>
            <w:tcW w:w="0" w:type="auto"/>
          </w:tcPr>
          <w:p w:rsidR="00E97B82" w:rsidRDefault="00E97B82" w:rsidP="00795BC2">
            <w:pPr>
              <w:pStyle w:val="NoSpacing"/>
              <w:rPr>
                <w:b/>
              </w:rPr>
            </w:pPr>
          </w:p>
          <w:p w:rsidR="000460E6" w:rsidRDefault="00A87308" w:rsidP="00795BC2">
            <w:pPr>
              <w:pStyle w:val="NoSpacing"/>
              <w:rPr>
                <w:b/>
              </w:rPr>
            </w:pPr>
            <w:r>
              <w:rPr>
                <w:b/>
              </w:rPr>
              <w:t xml:space="preserve">Category 1 </w:t>
            </w:r>
            <w:r w:rsidR="000460E6">
              <w:rPr>
                <w:b/>
              </w:rPr>
              <w:t>Libraries</w:t>
            </w:r>
            <w:r w:rsidR="00F80659">
              <w:rPr>
                <w:b/>
              </w:rPr>
              <w:t xml:space="preserve"> </w:t>
            </w:r>
          </w:p>
          <w:p w:rsidR="000460E6" w:rsidRDefault="000460E6" w:rsidP="00795BC2">
            <w:pPr>
              <w:pStyle w:val="NoSpacing"/>
              <w:rPr>
                <w:b/>
              </w:rPr>
            </w:pPr>
          </w:p>
          <w:p w:rsidR="00F80659" w:rsidRDefault="00F80659" w:rsidP="00795BC2">
            <w:pPr>
              <w:pStyle w:val="NoSpacing"/>
            </w:pPr>
            <w:r>
              <w:t>Per</w:t>
            </w:r>
            <w:r w:rsidR="00550043">
              <w:t>form matching against Category 2</w:t>
            </w:r>
            <w:r>
              <w:t xml:space="preserve"> Libraries Retention Commitment lists</w:t>
            </w:r>
          </w:p>
          <w:p w:rsidR="000460E6" w:rsidRPr="00F80659" w:rsidRDefault="000460E6" w:rsidP="00795BC2">
            <w:pPr>
              <w:pStyle w:val="NoSpacing"/>
            </w:pPr>
          </w:p>
        </w:tc>
        <w:tc>
          <w:tcPr>
            <w:tcW w:w="0" w:type="auto"/>
          </w:tcPr>
          <w:p w:rsidR="00E97B82" w:rsidRDefault="00E97B82" w:rsidP="007C235E">
            <w:pPr>
              <w:pStyle w:val="NoSpacing"/>
              <w:jc w:val="center"/>
            </w:pPr>
          </w:p>
          <w:p w:rsidR="002943A1" w:rsidRDefault="002943A1" w:rsidP="007C235E">
            <w:pPr>
              <w:pStyle w:val="NoSpacing"/>
              <w:jc w:val="center"/>
            </w:pPr>
            <w:r>
              <w:t>September</w:t>
            </w:r>
          </w:p>
          <w:p w:rsidR="00F80659" w:rsidRDefault="00132DB6" w:rsidP="007C235E">
            <w:pPr>
              <w:pStyle w:val="NoSpacing"/>
              <w:jc w:val="center"/>
            </w:pPr>
            <w:r>
              <w:t>2015</w:t>
            </w:r>
          </w:p>
        </w:tc>
      </w:tr>
      <w:tr w:rsidR="002943A1" w:rsidTr="002B632B">
        <w:tc>
          <w:tcPr>
            <w:tcW w:w="0" w:type="auto"/>
          </w:tcPr>
          <w:p w:rsidR="00E97B82" w:rsidRDefault="00E97B82" w:rsidP="000F577B">
            <w:pPr>
              <w:pStyle w:val="NoSpacing"/>
              <w:rPr>
                <w:b/>
              </w:rPr>
            </w:pPr>
          </w:p>
          <w:p w:rsidR="000460E6" w:rsidRDefault="00550043" w:rsidP="000F577B">
            <w:pPr>
              <w:pStyle w:val="NoSpacing"/>
            </w:pPr>
            <w:r>
              <w:rPr>
                <w:b/>
              </w:rPr>
              <w:t xml:space="preserve">Category 1 </w:t>
            </w:r>
            <w:r w:rsidR="000460E6">
              <w:rPr>
                <w:b/>
              </w:rPr>
              <w:t>Libraries</w:t>
            </w:r>
            <w:r w:rsidR="00F80659">
              <w:t xml:space="preserve"> </w:t>
            </w:r>
          </w:p>
          <w:p w:rsidR="000460E6" w:rsidRDefault="000460E6" w:rsidP="000F577B">
            <w:pPr>
              <w:pStyle w:val="NoSpacing"/>
            </w:pPr>
          </w:p>
          <w:p w:rsidR="00033D04" w:rsidRDefault="00F80659" w:rsidP="000F577B">
            <w:pPr>
              <w:pStyle w:val="NoSpacing"/>
            </w:pPr>
            <w:r>
              <w:t xml:space="preserve">Compile bibliographic, circulation, item, and matching results data into an Individual Library roll-up and Summary for each Library. Validate the results with </w:t>
            </w:r>
            <w:r w:rsidR="00132DB6">
              <w:t>each Library.</w:t>
            </w:r>
          </w:p>
          <w:p w:rsidR="00F80659" w:rsidRPr="00F80659" w:rsidRDefault="00132DB6" w:rsidP="000F577B">
            <w:pPr>
              <w:pStyle w:val="NoSpacing"/>
            </w:pPr>
            <w:r>
              <w:t xml:space="preserve"> </w:t>
            </w:r>
          </w:p>
        </w:tc>
        <w:tc>
          <w:tcPr>
            <w:tcW w:w="0" w:type="auto"/>
          </w:tcPr>
          <w:p w:rsidR="00E97B82" w:rsidRDefault="00E97B82" w:rsidP="007C235E">
            <w:pPr>
              <w:pStyle w:val="NoSpacing"/>
              <w:jc w:val="center"/>
            </w:pPr>
          </w:p>
          <w:p w:rsidR="002943A1" w:rsidRDefault="002943A1" w:rsidP="007C235E">
            <w:pPr>
              <w:pStyle w:val="NoSpacing"/>
              <w:jc w:val="center"/>
            </w:pPr>
            <w:r>
              <w:t xml:space="preserve">October </w:t>
            </w:r>
          </w:p>
          <w:p w:rsidR="00F80659" w:rsidRDefault="002943A1" w:rsidP="007C235E">
            <w:pPr>
              <w:pStyle w:val="NoSpacing"/>
              <w:jc w:val="center"/>
            </w:pPr>
            <w:r>
              <w:t>2015</w:t>
            </w:r>
          </w:p>
        </w:tc>
      </w:tr>
      <w:tr w:rsidR="002943A1" w:rsidTr="002B632B">
        <w:tc>
          <w:tcPr>
            <w:tcW w:w="0" w:type="auto"/>
          </w:tcPr>
          <w:p w:rsidR="00E97B82" w:rsidRDefault="00E97B82" w:rsidP="000F577B">
            <w:pPr>
              <w:pStyle w:val="NoSpacing"/>
              <w:rPr>
                <w:b/>
              </w:rPr>
            </w:pPr>
          </w:p>
          <w:p w:rsidR="00033D04" w:rsidRDefault="00132DB6" w:rsidP="000F577B">
            <w:pPr>
              <w:pStyle w:val="NoSpacing"/>
            </w:pPr>
            <w:r>
              <w:rPr>
                <w:b/>
              </w:rPr>
              <w:t>GreenGlass access for Individual Libraries [optional]</w:t>
            </w:r>
            <w:r>
              <w:t xml:space="preserve"> </w:t>
            </w:r>
          </w:p>
          <w:p w:rsidR="00033D04" w:rsidRDefault="00033D04" w:rsidP="000F577B">
            <w:pPr>
              <w:pStyle w:val="NoSpacing"/>
            </w:pPr>
          </w:p>
          <w:p w:rsidR="00132DB6" w:rsidRDefault="00132DB6" w:rsidP="000F577B">
            <w:pPr>
              <w:pStyle w:val="NoSpacing"/>
            </w:pPr>
            <w:r>
              <w:t>Intended for data exploration only. Not actionable until group-wide decisions are made.</w:t>
            </w:r>
          </w:p>
          <w:p w:rsidR="00033D04" w:rsidRPr="00132DB6" w:rsidRDefault="00033D04" w:rsidP="000F577B">
            <w:pPr>
              <w:pStyle w:val="NoSpacing"/>
            </w:pPr>
          </w:p>
        </w:tc>
        <w:tc>
          <w:tcPr>
            <w:tcW w:w="0" w:type="auto"/>
          </w:tcPr>
          <w:p w:rsidR="00E97B82" w:rsidRDefault="00E97B82" w:rsidP="007C235E">
            <w:pPr>
              <w:pStyle w:val="NoSpacing"/>
              <w:jc w:val="center"/>
            </w:pPr>
          </w:p>
          <w:p w:rsidR="00132DB6" w:rsidRDefault="002943A1" w:rsidP="007C235E">
            <w:pPr>
              <w:pStyle w:val="NoSpacing"/>
              <w:jc w:val="center"/>
            </w:pPr>
            <w:r>
              <w:t>October</w:t>
            </w:r>
          </w:p>
          <w:p w:rsidR="002943A1" w:rsidRDefault="002943A1" w:rsidP="007C235E">
            <w:pPr>
              <w:pStyle w:val="NoSpacing"/>
              <w:jc w:val="center"/>
            </w:pPr>
            <w:r>
              <w:t>2015</w:t>
            </w:r>
          </w:p>
        </w:tc>
      </w:tr>
      <w:tr w:rsidR="002943A1" w:rsidTr="002B632B">
        <w:tc>
          <w:tcPr>
            <w:tcW w:w="0" w:type="auto"/>
          </w:tcPr>
          <w:p w:rsidR="00E97B82" w:rsidRDefault="00E97B82" w:rsidP="00033D04">
            <w:pPr>
              <w:pStyle w:val="NoSpacing"/>
              <w:rPr>
                <w:b/>
              </w:rPr>
            </w:pPr>
          </w:p>
          <w:p w:rsidR="00033D04" w:rsidRDefault="00CE2B34" w:rsidP="00033D04">
            <w:pPr>
              <w:pStyle w:val="NoSpacing"/>
              <w:rPr>
                <w:b/>
              </w:rPr>
            </w:pPr>
            <w:r>
              <w:rPr>
                <w:b/>
              </w:rPr>
              <w:t xml:space="preserve">Compile </w:t>
            </w:r>
            <w:r w:rsidR="00550043">
              <w:rPr>
                <w:b/>
              </w:rPr>
              <w:t>data into a MI-SPI</w:t>
            </w:r>
            <w:r w:rsidR="00F80659">
              <w:rPr>
                <w:b/>
              </w:rPr>
              <w:t xml:space="preserve"> group-wide database</w:t>
            </w:r>
            <w:r>
              <w:rPr>
                <w:b/>
              </w:rPr>
              <w:t xml:space="preserve"> </w:t>
            </w:r>
          </w:p>
          <w:p w:rsidR="00033D04" w:rsidRDefault="00033D04" w:rsidP="00033D04">
            <w:pPr>
              <w:pStyle w:val="NoSpacing"/>
              <w:rPr>
                <w:b/>
              </w:rPr>
            </w:pPr>
          </w:p>
          <w:p w:rsidR="00033D04" w:rsidRDefault="004A1052" w:rsidP="00033D04">
            <w:pPr>
              <w:pStyle w:val="NoSpacing"/>
            </w:pPr>
            <w:r>
              <w:t>Current estimate includes 2.95</w:t>
            </w:r>
            <w:r w:rsidR="00CE2B34">
              <w:t xml:space="preserve"> million</w:t>
            </w:r>
            <w:r>
              <w:t xml:space="preserve"> bib records, and probably 4-4.5</w:t>
            </w:r>
            <w:r w:rsidR="00CE2B34">
              <w:t xml:space="preserve"> million items, most with validated OCLC numbers, WorldCat and HathiTrust matche</w:t>
            </w:r>
            <w:r w:rsidR="00550043">
              <w:t>s, and overlap with EMU and WMU</w:t>
            </w:r>
            <w:r w:rsidR="00CE2B34">
              <w:t xml:space="preserve"> retention commitments. The group data set will also tally overlap among the</w:t>
            </w:r>
            <w:r w:rsidR="00550043">
              <w:t xml:space="preserve"> MI-SPI</w:t>
            </w:r>
            <w:r w:rsidR="00CE2B34">
              <w:t xml:space="preserve"> participants. </w:t>
            </w:r>
          </w:p>
          <w:p w:rsidR="00033D04" w:rsidRDefault="00033D04" w:rsidP="00033D04">
            <w:pPr>
              <w:pStyle w:val="NoSpacing"/>
            </w:pPr>
          </w:p>
          <w:p w:rsidR="00F80659" w:rsidRDefault="00550043" w:rsidP="00033D04">
            <w:pPr>
              <w:pStyle w:val="NoSpacing"/>
            </w:pPr>
            <w:r>
              <w:t>OCLC/</w:t>
            </w:r>
            <w:r w:rsidR="00CE2B34">
              <w:t xml:space="preserve">SCS will be able to parse and report </w:t>
            </w:r>
            <w:r w:rsidR="00033D04">
              <w:t>this data in many ways</w:t>
            </w:r>
            <w:r w:rsidR="00CE2B34">
              <w:t xml:space="preserve">. </w:t>
            </w:r>
            <w:r>
              <w:t>OCLC/</w:t>
            </w:r>
            <w:r w:rsidR="00CE2B34">
              <w:t>SCS will</w:t>
            </w:r>
            <w:r>
              <w:t xml:space="preserve"> present an overview of the MI-SPI 2015</w:t>
            </w:r>
            <w:r w:rsidR="00CE2B34">
              <w:t xml:space="preserve"> database when it is complete, and demonstrate</w:t>
            </w:r>
            <w:r w:rsidR="00795BC2">
              <w:t xml:space="preserve"> techniques for exploration and scenario development.</w:t>
            </w:r>
          </w:p>
          <w:p w:rsidR="00033D04" w:rsidRPr="00CE2B34" w:rsidRDefault="00033D04" w:rsidP="00033D04">
            <w:pPr>
              <w:pStyle w:val="NoSpacing"/>
            </w:pPr>
          </w:p>
        </w:tc>
        <w:tc>
          <w:tcPr>
            <w:tcW w:w="0" w:type="auto"/>
          </w:tcPr>
          <w:p w:rsidR="00E97B82" w:rsidRDefault="00E97B82" w:rsidP="007C235E">
            <w:pPr>
              <w:pStyle w:val="NoSpacing"/>
              <w:jc w:val="center"/>
            </w:pPr>
          </w:p>
          <w:p w:rsidR="002943A1" w:rsidRDefault="002943A1" w:rsidP="007C235E">
            <w:pPr>
              <w:pStyle w:val="NoSpacing"/>
              <w:jc w:val="center"/>
            </w:pPr>
            <w:r>
              <w:t xml:space="preserve">October </w:t>
            </w:r>
          </w:p>
          <w:p w:rsidR="00F80659" w:rsidRDefault="002943A1" w:rsidP="007C235E">
            <w:pPr>
              <w:pStyle w:val="NoSpacing"/>
              <w:jc w:val="center"/>
            </w:pPr>
            <w:r>
              <w:t>2015</w:t>
            </w:r>
          </w:p>
        </w:tc>
      </w:tr>
      <w:tr w:rsidR="002943A1" w:rsidTr="002B632B">
        <w:tc>
          <w:tcPr>
            <w:tcW w:w="0" w:type="auto"/>
          </w:tcPr>
          <w:p w:rsidR="00195CB5" w:rsidRDefault="00195CB5" w:rsidP="000F577B">
            <w:pPr>
              <w:pStyle w:val="NoSpacing"/>
              <w:rPr>
                <w:b/>
              </w:rPr>
            </w:pPr>
          </w:p>
          <w:p w:rsidR="00033D04" w:rsidRDefault="00CE2B34" w:rsidP="000F577B">
            <w:pPr>
              <w:pStyle w:val="NoSpacing"/>
            </w:pPr>
            <w:r>
              <w:rPr>
                <w:b/>
              </w:rPr>
              <w:t>Scenari</w:t>
            </w:r>
            <w:r w:rsidR="00033D04">
              <w:rPr>
                <w:b/>
              </w:rPr>
              <w:t>o Development</w:t>
            </w:r>
            <w:r>
              <w:t xml:space="preserve"> </w:t>
            </w:r>
          </w:p>
          <w:p w:rsidR="00033D04" w:rsidRDefault="00033D04" w:rsidP="000F577B">
            <w:pPr>
              <w:pStyle w:val="NoSpacing"/>
            </w:pPr>
          </w:p>
          <w:p w:rsidR="00033D04" w:rsidRDefault="00CE2B34" w:rsidP="000F577B">
            <w:pPr>
              <w:pStyle w:val="NoSpacing"/>
            </w:pPr>
            <w:r>
              <w:t>E</w:t>
            </w:r>
            <w:r w:rsidR="00550043">
              <w:t>xtensive exploration of the MI-SPI holdings</w:t>
            </w:r>
            <w:r>
              <w:t xml:space="preserve"> will be possible once the data has been compiled. Conference calls, webinars and face-to-face meetings will help with understanding</w:t>
            </w:r>
            <w:r w:rsidR="00033D04">
              <w:t xml:space="preserve"> options, models, and results for retention and sharing.</w:t>
            </w:r>
          </w:p>
          <w:p w:rsidR="00033D04" w:rsidRDefault="00033D04" w:rsidP="000F577B">
            <w:pPr>
              <w:pStyle w:val="NoSpacing"/>
            </w:pPr>
          </w:p>
          <w:p w:rsidR="00F80659" w:rsidRDefault="00795BC2" w:rsidP="000F577B">
            <w:pPr>
              <w:pStyle w:val="NoSpacing"/>
            </w:pPr>
            <w:r>
              <w:t xml:space="preserve">An </w:t>
            </w:r>
            <w:r w:rsidR="00550043">
              <w:t>OCLC/</w:t>
            </w:r>
            <w:r>
              <w:t xml:space="preserve">SCS data analyst will be assigned to </w:t>
            </w:r>
            <w:r w:rsidR="00550043">
              <w:t xml:space="preserve">MI-SPI </w:t>
            </w:r>
            <w:r>
              <w:t>to assist with custom reports and effective use of the data. Once a group-wide approach to</w:t>
            </w:r>
            <w:r w:rsidR="00550043">
              <w:t xml:space="preserve"> retention has been agreed, MI-SPI</w:t>
            </w:r>
            <w:r>
              <w:t xml:space="preserve"> data can be incorporated into GreenGlass.</w:t>
            </w:r>
          </w:p>
          <w:p w:rsidR="00033D04" w:rsidRPr="00CE2B34" w:rsidRDefault="00033D04" w:rsidP="000F577B">
            <w:pPr>
              <w:pStyle w:val="NoSpacing"/>
            </w:pPr>
          </w:p>
        </w:tc>
        <w:tc>
          <w:tcPr>
            <w:tcW w:w="0" w:type="auto"/>
          </w:tcPr>
          <w:p w:rsidR="00195CB5" w:rsidRDefault="00195CB5" w:rsidP="007C235E">
            <w:pPr>
              <w:pStyle w:val="NoSpacing"/>
              <w:jc w:val="center"/>
            </w:pPr>
          </w:p>
          <w:p w:rsidR="00F80659" w:rsidRDefault="002943A1" w:rsidP="007C235E">
            <w:pPr>
              <w:pStyle w:val="NoSpacing"/>
              <w:jc w:val="center"/>
            </w:pPr>
            <w:r>
              <w:t>November-December 2015</w:t>
            </w:r>
          </w:p>
        </w:tc>
      </w:tr>
      <w:tr w:rsidR="002943A1" w:rsidTr="002B632B">
        <w:tc>
          <w:tcPr>
            <w:tcW w:w="0" w:type="auto"/>
          </w:tcPr>
          <w:p w:rsidR="00195CB5" w:rsidRDefault="00195CB5" w:rsidP="000F577B">
            <w:pPr>
              <w:pStyle w:val="NoSpacing"/>
              <w:rPr>
                <w:b/>
              </w:rPr>
            </w:pPr>
          </w:p>
          <w:p w:rsidR="00033D04" w:rsidRDefault="00795BC2" w:rsidP="000F577B">
            <w:pPr>
              <w:pStyle w:val="NoSpacing"/>
            </w:pPr>
            <w:r>
              <w:rPr>
                <w:b/>
              </w:rPr>
              <w:t>Allo</w:t>
            </w:r>
            <w:r w:rsidR="00033D04">
              <w:rPr>
                <w:b/>
              </w:rPr>
              <w:t>cation of Retention Commitments</w:t>
            </w:r>
            <w:r w:rsidR="00033D04">
              <w:t xml:space="preserve"> </w:t>
            </w:r>
          </w:p>
          <w:p w:rsidR="00033D04" w:rsidRDefault="00033D04" w:rsidP="000F577B">
            <w:pPr>
              <w:pStyle w:val="NoSpacing"/>
            </w:pPr>
          </w:p>
          <w:p w:rsidR="00033D04" w:rsidRDefault="00033D04" w:rsidP="002736C3">
            <w:pPr>
              <w:pStyle w:val="NoSpacing"/>
            </w:pPr>
            <w:r>
              <w:t>Once a shared print model has been established</w:t>
            </w:r>
            <w:r w:rsidR="00795BC2">
              <w:t xml:space="preserve">, </w:t>
            </w:r>
            <w:r w:rsidR="00550043">
              <w:t>OCLC/SCS will work with MI-SPI</w:t>
            </w:r>
            <w:r w:rsidR="00795BC2">
              <w:t xml:space="preserve"> libraries to develop an equitable method for allocating responsibility for retention commitment</w:t>
            </w:r>
            <w:r>
              <w:t>s</w:t>
            </w:r>
            <w:r w:rsidR="00795BC2">
              <w:t xml:space="preserve">. These can then be flagged in GreenGlass or removed from the database, leaving titles and items in GreenGlass to be eligible for safe withdrawal scenarios. </w:t>
            </w:r>
          </w:p>
          <w:p w:rsidR="0006091E" w:rsidRPr="00795BC2" w:rsidRDefault="0006091E" w:rsidP="002736C3">
            <w:pPr>
              <w:pStyle w:val="NoSpacing"/>
            </w:pPr>
          </w:p>
        </w:tc>
        <w:tc>
          <w:tcPr>
            <w:tcW w:w="0" w:type="auto"/>
          </w:tcPr>
          <w:p w:rsidR="00195CB5" w:rsidRDefault="00195CB5" w:rsidP="007C235E">
            <w:pPr>
              <w:pStyle w:val="NoSpacing"/>
              <w:jc w:val="center"/>
            </w:pPr>
          </w:p>
          <w:p w:rsidR="00795BC2" w:rsidRDefault="002943A1" w:rsidP="007C235E">
            <w:pPr>
              <w:pStyle w:val="NoSpacing"/>
              <w:jc w:val="center"/>
            </w:pPr>
            <w:r>
              <w:t>November-December 2015</w:t>
            </w:r>
          </w:p>
        </w:tc>
      </w:tr>
      <w:tr w:rsidR="002943A1" w:rsidTr="002B632B">
        <w:tc>
          <w:tcPr>
            <w:tcW w:w="0" w:type="auto"/>
          </w:tcPr>
          <w:p w:rsidR="00195CB5" w:rsidRDefault="00195CB5" w:rsidP="000F577B">
            <w:pPr>
              <w:pStyle w:val="NoSpacing"/>
              <w:rPr>
                <w:b/>
              </w:rPr>
            </w:pPr>
          </w:p>
          <w:p w:rsidR="00033D04" w:rsidRDefault="009D0EA9" w:rsidP="000F577B">
            <w:pPr>
              <w:pStyle w:val="NoSpacing"/>
            </w:pPr>
            <w:r>
              <w:rPr>
                <w:b/>
              </w:rPr>
              <w:t xml:space="preserve">GreenGlass </w:t>
            </w:r>
            <w:r w:rsidR="00033D04">
              <w:rPr>
                <w:b/>
              </w:rPr>
              <w:t>Access to Group Data Set</w:t>
            </w:r>
            <w:r>
              <w:t xml:space="preserve"> </w:t>
            </w:r>
            <w:r w:rsidR="00033D04">
              <w:t>(Individual Libraries)</w:t>
            </w:r>
          </w:p>
          <w:p w:rsidR="00033D04" w:rsidRDefault="00033D04" w:rsidP="000F577B">
            <w:pPr>
              <w:pStyle w:val="NoSpacing"/>
            </w:pPr>
          </w:p>
          <w:p w:rsidR="009D0EA9" w:rsidRDefault="00033D04" w:rsidP="00033D04">
            <w:pPr>
              <w:pStyle w:val="NoSpacing"/>
            </w:pPr>
            <w:r>
              <w:t>This will provide a sophisticated decision support tool, enabling</w:t>
            </w:r>
            <w:r w:rsidR="009D0EA9">
              <w:t xml:space="preserve"> exploration</w:t>
            </w:r>
            <w:r>
              <w:t xml:space="preserve"> of collection strengths,</w:t>
            </w:r>
            <w:r w:rsidR="009D0EA9">
              <w:t xml:space="preserve"> and withdrawal of items not flagged as retention commitments</w:t>
            </w:r>
            <w:r>
              <w:t>.</w:t>
            </w:r>
          </w:p>
          <w:p w:rsidR="00033D04" w:rsidRDefault="00033D04" w:rsidP="00033D04">
            <w:pPr>
              <w:pStyle w:val="NoSpacing"/>
            </w:pPr>
          </w:p>
          <w:p w:rsidR="00033D04" w:rsidRDefault="00033D04" w:rsidP="00033D04">
            <w:pPr>
              <w:pStyle w:val="NoSpacing"/>
            </w:pPr>
            <w:r>
              <w:t>In addition, GreenGlass for Groups will be developed and released in late 2015, which will provide additional functionality.</w:t>
            </w:r>
          </w:p>
          <w:p w:rsidR="00033D04" w:rsidRDefault="00033D04" w:rsidP="00033D04">
            <w:pPr>
              <w:pStyle w:val="NoSpacing"/>
            </w:pPr>
          </w:p>
          <w:p w:rsidR="00033D04" w:rsidRPr="009D0EA9" w:rsidRDefault="00033D04" w:rsidP="00033D04">
            <w:pPr>
              <w:pStyle w:val="NoSpacing"/>
            </w:pPr>
          </w:p>
        </w:tc>
        <w:tc>
          <w:tcPr>
            <w:tcW w:w="0" w:type="auto"/>
          </w:tcPr>
          <w:p w:rsidR="00195CB5" w:rsidRDefault="00195CB5" w:rsidP="007C235E">
            <w:pPr>
              <w:pStyle w:val="NoSpacing"/>
              <w:jc w:val="center"/>
            </w:pPr>
          </w:p>
          <w:p w:rsidR="002943A1" w:rsidRDefault="002943A1" w:rsidP="007C235E">
            <w:pPr>
              <w:pStyle w:val="NoSpacing"/>
              <w:jc w:val="center"/>
            </w:pPr>
            <w:r>
              <w:t>January</w:t>
            </w:r>
            <w:r w:rsidR="009D0EA9">
              <w:t xml:space="preserve"> </w:t>
            </w:r>
          </w:p>
          <w:p w:rsidR="009D0EA9" w:rsidRDefault="009D0EA9" w:rsidP="007C235E">
            <w:pPr>
              <w:pStyle w:val="NoSpacing"/>
              <w:jc w:val="center"/>
            </w:pPr>
            <w:r>
              <w:t>2016</w:t>
            </w:r>
          </w:p>
        </w:tc>
      </w:tr>
      <w:tr w:rsidR="002943A1" w:rsidTr="002B632B">
        <w:tc>
          <w:tcPr>
            <w:tcW w:w="0" w:type="auto"/>
          </w:tcPr>
          <w:p w:rsidR="00195CB5" w:rsidRDefault="00195CB5" w:rsidP="000F577B">
            <w:pPr>
              <w:pStyle w:val="NoSpacing"/>
              <w:rPr>
                <w:b/>
              </w:rPr>
            </w:pPr>
          </w:p>
          <w:p w:rsidR="00033D04" w:rsidRDefault="00795BC2" w:rsidP="000F577B">
            <w:pPr>
              <w:pStyle w:val="NoSpacing"/>
            </w:pPr>
            <w:r>
              <w:rPr>
                <w:b/>
              </w:rPr>
              <w:t>Ongoing Data Management</w:t>
            </w:r>
            <w:r>
              <w:t xml:space="preserve"> </w:t>
            </w:r>
          </w:p>
          <w:p w:rsidR="00033D04" w:rsidRDefault="00033D04" w:rsidP="000F577B">
            <w:pPr>
              <w:pStyle w:val="NoSpacing"/>
            </w:pPr>
          </w:p>
          <w:p w:rsidR="00033D04" w:rsidRDefault="00795BC2" w:rsidP="000F577B">
            <w:pPr>
              <w:pStyle w:val="NoSpacing"/>
            </w:pPr>
            <w:r>
              <w:t xml:space="preserve">SCS will continue </w:t>
            </w:r>
            <w:r w:rsidR="00550043">
              <w:t>to host and manage the 2015 MI-SPI</w:t>
            </w:r>
            <w:r>
              <w:t xml:space="preserve"> data set for an agre</w:t>
            </w:r>
            <w:r w:rsidR="00550043">
              <w:t>ed period, probably for</w:t>
            </w:r>
            <w:r>
              <w:t xml:space="preserve"> two years</w:t>
            </w:r>
            <w:r w:rsidR="00550043">
              <w:t>, but additional discussion is needed</w:t>
            </w:r>
            <w:r>
              <w:t xml:space="preserve">. GreenGlass access and custom queries will be supported throughout the life of the data set. </w:t>
            </w:r>
          </w:p>
          <w:p w:rsidR="00033D04" w:rsidRDefault="00033D04" w:rsidP="000F577B">
            <w:pPr>
              <w:pStyle w:val="NoSpacing"/>
            </w:pPr>
          </w:p>
          <w:p w:rsidR="00795BC2" w:rsidRDefault="00550043" w:rsidP="000F577B">
            <w:pPr>
              <w:pStyle w:val="NoSpacing"/>
            </w:pPr>
            <w:r>
              <w:t>MI-SPI</w:t>
            </w:r>
            <w:r w:rsidR="00795BC2">
              <w:t xml:space="preserve"> and SCS will work together to decide the best cycle for ren</w:t>
            </w:r>
            <w:r w:rsidR="00390DB6">
              <w:t>ewal. At the beginning of each cycle, new data sets would be gathered from all participants, and we would repeat the process outlined above – improved each time by what was learned in the previous cycle.</w:t>
            </w:r>
            <w:r w:rsidR="00033D04">
              <w:t xml:space="preserve"> This would also allow new participa</w:t>
            </w:r>
            <w:r>
              <w:t xml:space="preserve">nts to join MI-SPI </w:t>
            </w:r>
            <w:r w:rsidR="00033D04">
              <w:t>collection analysis on a predictable schedule.</w:t>
            </w:r>
          </w:p>
          <w:p w:rsidR="00033D04" w:rsidRPr="00795BC2" w:rsidRDefault="00033D04" w:rsidP="000F577B">
            <w:pPr>
              <w:pStyle w:val="NoSpacing"/>
            </w:pPr>
          </w:p>
        </w:tc>
        <w:tc>
          <w:tcPr>
            <w:tcW w:w="0" w:type="auto"/>
          </w:tcPr>
          <w:p w:rsidR="00195CB5" w:rsidRDefault="00195CB5" w:rsidP="007C235E">
            <w:pPr>
              <w:pStyle w:val="NoSpacing"/>
              <w:jc w:val="center"/>
            </w:pPr>
          </w:p>
          <w:p w:rsidR="00795BC2" w:rsidRDefault="009D0EA9" w:rsidP="007C235E">
            <w:pPr>
              <w:pStyle w:val="NoSpacing"/>
              <w:jc w:val="center"/>
            </w:pPr>
            <w:r>
              <w:t>July 2015 – June 2017?</w:t>
            </w:r>
          </w:p>
        </w:tc>
      </w:tr>
    </w:tbl>
    <w:p w:rsidR="00554726" w:rsidRPr="005311F2" w:rsidRDefault="009D0EA9" w:rsidP="002B632B">
      <w:pPr>
        <w:pStyle w:val="NoSpacing"/>
        <w:rPr>
          <w:b/>
        </w:rPr>
      </w:pPr>
      <w:r>
        <w:rPr>
          <w:b/>
        </w:rPr>
        <w:t>SCS Processes</w:t>
      </w:r>
    </w:p>
    <w:p w:rsidR="00554726" w:rsidRDefault="00554726" w:rsidP="002B632B">
      <w:pPr>
        <w:pStyle w:val="NoSpacing"/>
      </w:pPr>
      <w:r>
        <w:t xml:space="preserve">The primary </w:t>
      </w:r>
      <w:r w:rsidR="00550043">
        <w:t>OCLC/</w:t>
      </w:r>
      <w:r>
        <w:t xml:space="preserve">SCS focus is on project success for the library or group. Because of that, we have configured our approach and services to be flexible, and adaptable to the objectives </w:t>
      </w:r>
      <w:r w:rsidR="002D643A">
        <w:t xml:space="preserve">of the group we are serving. </w:t>
      </w:r>
      <w:r w:rsidR="007C235E">
        <w:t xml:space="preserve">The project outline above represents our best attempt </w:t>
      </w:r>
      <w:r w:rsidR="00550043">
        <w:t>at adapting our approach to MI-SPI</w:t>
      </w:r>
      <w:r w:rsidR="007C235E">
        <w:t xml:space="preserve">, but we remain open to other approaches and ideas. </w:t>
      </w:r>
      <w:r w:rsidR="002D643A">
        <w:t>A</w:t>
      </w:r>
      <w:r>
        <w:t>t the most basic level, w</w:t>
      </w:r>
      <w:r w:rsidR="007C235E">
        <w:t>e offer three kinds of services, which can be further ext</w:t>
      </w:r>
      <w:r w:rsidR="00550043">
        <w:t>ended and adapted to assure MI-SPI</w:t>
      </w:r>
      <w:r w:rsidR="007C235E">
        <w:t xml:space="preserve"> achieves its objectives:</w:t>
      </w:r>
    </w:p>
    <w:p w:rsidR="00554726" w:rsidRDefault="00554726" w:rsidP="002B632B">
      <w:pPr>
        <w:pStyle w:val="NoSpacing"/>
      </w:pPr>
    </w:p>
    <w:p w:rsidR="00554726" w:rsidRDefault="00554726" w:rsidP="002B632B">
      <w:pPr>
        <w:pStyle w:val="NoSpacing"/>
        <w:numPr>
          <w:ilvl w:val="0"/>
          <w:numId w:val="3"/>
        </w:numPr>
        <w:ind w:left="720"/>
      </w:pPr>
      <w:r w:rsidRPr="00C710BC">
        <w:rPr>
          <w:i/>
        </w:rPr>
        <w:t>Data Preparation, Normalization, and Augmentation:</w:t>
      </w:r>
      <w:r>
        <w:t xml:space="preserve"> </w:t>
      </w:r>
      <w:r w:rsidR="00550043">
        <w:t>OCLC/</w:t>
      </w:r>
      <w:r w:rsidR="00C710BC">
        <w:t xml:space="preserve">SCS spends a </w:t>
      </w:r>
      <w:r w:rsidR="002D643A">
        <w:t>great deal of time and effort</w:t>
      </w:r>
      <w:r w:rsidR="00C710BC">
        <w:t xml:space="preserve"> shaping each library or group’s data set. We believe that this up-front work greatly improves the consistency and reliability of results. This is vital in cases where withdrawals are contemplated,</w:t>
      </w:r>
      <w:r w:rsidR="002D643A">
        <w:t xml:space="preserve"> but it also provides</w:t>
      </w:r>
      <w:r w:rsidR="00C710BC">
        <w:t xml:space="preserve"> workflow efficiencies for the libraries, a</w:t>
      </w:r>
      <w:r w:rsidR="002D643A">
        <w:t>s lists can be sorted accurately</w:t>
      </w:r>
      <w:r w:rsidR="00C710BC">
        <w:t>, OPAC links work consistently, etc. Starting with the bibliographic, item, and circulation data supplied by the library, we parse and normalize call numbers, dates, locations and other elements. We then augment the library’s data with holdings information from WorldCat, Hathi Trust, Intern</w:t>
      </w:r>
      <w:r w:rsidR="007C235E">
        <w:t xml:space="preserve">et Archive, </w:t>
      </w:r>
      <w:r w:rsidR="00C710BC">
        <w:t>and other sources. Curating this initial data set is the core of our service.</w:t>
      </w:r>
    </w:p>
    <w:p w:rsidR="0006606D" w:rsidRDefault="0006606D" w:rsidP="002B632B">
      <w:pPr>
        <w:pStyle w:val="NoSpacing"/>
      </w:pPr>
    </w:p>
    <w:p w:rsidR="00C710BC" w:rsidRDefault="00C710BC" w:rsidP="002B632B">
      <w:pPr>
        <w:pStyle w:val="NoSpacing"/>
        <w:numPr>
          <w:ilvl w:val="0"/>
          <w:numId w:val="3"/>
        </w:numPr>
        <w:ind w:left="720"/>
      </w:pPr>
      <w:r>
        <w:rPr>
          <w:i/>
        </w:rPr>
        <w:t xml:space="preserve">Custom Queries, Scenarios, </w:t>
      </w:r>
      <w:r w:rsidR="002D643A">
        <w:rPr>
          <w:i/>
        </w:rPr>
        <w:t xml:space="preserve">and </w:t>
      </w:r>
      <w:r>
        <w:rPr>
          <w:i/>
        </w:rPr>
        <w:t>Reports:</w:t>
      </w:r>
      <w:r>
        <w:t xml:space="preserve"> The rich data sets created in collaboration with libraries offer many opportunities for analysis. </w:t>
      </w:r>
      <w:r w:rsidR="00550043">
        <w:t>OCLC/</w:t>
      </w:r>
      <w:r>
        <w:t>SCS data analysts have grea</w:t>
      </w:r>
      <w:r w:rsidR="002D643A">
        <w:t>t facility with SQL</w:t>
      </w:r>
      <w:r>
        <w:t xml:space="preserve">, and can draw on experience with other clients to help the group develop retention, storage, or withdrawal scenarios of many kinds. We have designed our services to allow sufficient time and bandwidth to </w:t>
      </w:r>
      <w:r w:rsidR="0006606D">
        <w:t>run and compare many iterations of scenarios—to use the full power of the data to make informed collections decision.</w:t>
      </w:r>
      <w:r w:rsidR="00CD217C">
        <w:t xml:space="preserve"> Examples of some reports are included in the Processes section below.</w:t>
      </w:r>
      <w:r w:rsidR="002D643A">
        <w:t xml:space="preserve"> More are available upon request.</w:t>
      </w:r>
    </w:p>
    <w:p w:rsidR="0006606D" w:rsidRDefault="0006606D" w:rsidP="002B632B">
      <w:pPr>
        <w:pStyle w:val="NoSpacing"/>
      </w:pPr>
    </w:p>
    <w:p w:rsidR="0006606D" w:rsidRDefault="0006606D" w:rsidP="002B632B">
      <w:pPr>
        <w:pStyle w:val="NoSpacing"/>
        <w:numPr>
          <w:ilvl w:val="0"/>
          <w:numId w:val="3"/>
        </w:numPr>
        <w:ind w:left="720"/>
      </w:pPr>
      <w:r>
        <w:rPr>
          <w:i/>
        </w:rPr>
        <w:t xml:space="preserve">GreenGlass: </w:t>
      </w:r>
      <w:r>
        <w:t xml:space="preserve">GreenGlass is our web-based decision support tool, which gives an individual library the ability to interact with and visualize its own data. While GreenGlass is not currently set up for group-level scenario building, some groups have begun to use it in a controlled way, by flagging their scarcely-held titles for protection, and allowing individual libraries to act independently on widely-held titles. See the </w:t>
      </w:r>
      <w:r w:rsidR="00550043">
        <w:t>OCLC/</w:t>
      </w:r>
      <w:r>
        <w:t xml:space="preserve">SCS homepage at </w:t>
      </w:r>
      <w:hyperlink r:id="rId11" w:history="1">
        <w:r w:rsidRPr="000A5866">
          <w:rPr>
            <w:rStyle w:val="Hyperlink"/>
          </w:rPr>
          <w:t>www.sustainablecollections.com</w:t>
        </w:r>
      </w:hyperlink>
      <w:r>
        <w:t xml:space="preserve"> for a 2-minute video introduction to GreenGlass. </w:t>
      </w:r>
    </w:p>
    <w:p w:rsidR="0006606D" w:rsidRDefault="0006606D" w:rsidP="002B632B">
      <w:pPr>
        <w:pStyle w:val="NoSpacing"/>
      </w:pPr>
    </w:p>
    <w:p w:rsidR="0006606D" w:rsidRDefault="0006606D" w:rsidP="002B632B">
      <w:pPr>
        <w:pStyle w:val="NoSpacing"/>
        <w:numPr>
          <w:ilvl w:val="0"/>
          <w:numId w:val="3"/>
        </w:numPr>
        <w:ind w:left="720"/>
      </w:pPr>
      <w:r>
        <w:rPr>
          <w:i/>
        </w:rPr>
        <w:t xml:space="preserve">Seminars and Stakeholder Education: </w:t>
      </w:r>
      <w:r>
        <w:t xml:space="preserve">Many libraries and groups have invited </w:t>
      </w:r>
      <w:r w:rsidR="00550043">
        <w:t>OCLC/</w:t>
      </w:r>
      <w:r>
        <w:t xml:space="preserve">SCS to speak with library staff or teaching faculty about the changing role of local print book collections. </w:t>
      </w:r>
      <w:r w:rsidR="00550043">
        <w:t>OCLC/</w:t>
      </w:r>
      <w:r>
        <w:t>SCS offers a 90-minute program called “Rethinking Library Resources” that we have presented dozens of times in the past five years. It is designed to explain why rethinking local print collections is a reasonable idea, and how data can be used to make decisions as safe and cost-effective as possible.</w:t>
      </w:r>
      <w:r w:rsidR="002D643A">
        <w:t xml:space="preserve"> This can be included as an option in any project.</w:t>
      </w:r>
    </w:p>
    <w:p w:rsidR="00CD217C" w:rsidRDefault="00CD217C" w:rsidP="002B632B">
      <w:pPr>
        <w:pStyle w:val="NoSpacing"/>
      </w:pPr>
    </w:p>
    <w:p w:rsidR="0006606D" w:rsidRDefault="0006606D" w:rsidP="002B632B">
      <w:pPr>
        <w:pStyle w:val="NoSpacing"/>
        <w:numPr>
          <w:ilvl w:val="0"/>
          <w:numId w:val="3"/>
        </w:numPr>
        <w:ind w:left="720"/>
      </w:pPr>
      <w:r>
        <w:rPr>
          <w:i/>
        </w:rPr>
        <w:t>Onsite Presentations and Facilitation:</w:t>
      </w:r>
      <w:r>
        <w:t xml:space="preserve"> Communication and decision-making in a group context can be challenging, especially when working with large, complex data sets. In a typical group project, </w:t>
      </w:r>
      <w:r w:rsidR="00550043">
        <w:t>OCLC/</w:t>
      </w:r>
      <w:r>
        <w:t>SCS would</w:t>
      </w:r>
      <w:r w:rsidR="00404160">
        <w:t xml:space="preserve"> participate in an onsite kick-off meeting and a return visit to present the first round of Collection Summary results. This is supplemented by conference calls and WebEx sessions, GreenGlass training, and in some cases, additional site visits to discuss alternatives.</w:t>
      </w:r>
    </w:p>
    <w:p w:rsidR="004107DB" w:rsidRDefault="004107DB" w:rsidP="002B632B">
      <w:pPr>
        <w:pStyle w:val="NoSpacing"/>
      </w:pPr>
    </w:p>
    <w:p w:rsidR="004C4BAE" w:rsidRDefault="00550043" w:rsidP="004C4BAE">
      <w:pPr>
        <w:pStyle w:val="NoSpacing"/>
      </w:pPr>
      <w:r>
        <w:t>OCLC/SCS will work with MI-SPI</w:t>
      </w:r>
      <w:r w:rsidR="004C4BAE">
        <w:t xml:space="preserve"> to design a process that is as cost-effective and flexible as possible. However we approach it, this is a very large-scale undertaking. But it offers the possibility of enormous benefits to participants. SCS looks forward to</w:t>
      </w:r>
      <w:r>
        <w:t xml:space="preserve"> continuing our</w:t>
      </w:r>
      <w:r w:rsidR="004C4BAE">
        <w:t xml:space="preserve"> productive and </w:t>
      </w:r>
      <w:r>
        <w:t>successful partnership with MI-SPI</w:t>
      </w:r>
      <w:r w:rsidR="004C4BAE">
        <w:t xml:space="preserve"> in this ground-breaking work.</w:t>
      </w:r>
    </w:p>
    <w:p w:rsidR="00C83580" w:rsidRDefault="00C83580" w:rsidP="00CD217C">
      <w:pPr>
        <w:pStyle w:val="NoSpacing"/>
        <w:ind w:left="450"/>
      </w:pPr>
    </w:p>
    <w:p w:rsidR="0016321F" w:rsidRPr="0016321F" w:rsidRDefault="00550043" w:rsidP="00A47D0E">
      <w:pPr>
        <w:pStyle w:val="NoSpacing"/>
        <w:rPr>
          <w:b/>
        </w:rPr>
      </w:pPr>
      <w:r>
        <w:rPr>
          <w:b/>
        </w:rPr>
        <w:t>Support Required from MI-SPI</w:t>
      </w:r>
      <w:r w:rsidR="0016321F">
        <w:rPr>
          <w:b/>
        </w:rPr>
        <w:t xml:space="preserve"> libraries</w:t>
      </w:r>
    </w:p>
    <w:p w:rsidR="0016321F" w:rsidRDefault="002943A1" w:rsidP="00A47D0E">
      <w:pPr>
        <w:pStyle w:val="NoSpacing"/>
      </w:pPr>
      <w:r>
        <w:t>OCLC/</w:t>
      </w:r>
      <w:r w:rsidR="0016321F">
        <w:t xml:space="preserve">SCS will need extracts of bibliographic, item, and circulation data from each library. Other libraries have reported that these extracts typically require no more than 2-3 days of time from a systems librarian. In some cases, the system vendor may need to make changes to export profiles, so some liaising would be needed there. At this stage of the project, it is necessary for </w:t>
      </w:r>
      <w:r>
        <w:t>OCLC/</w:t>
      </w:r>
      <w:r w:rsidR="0016321F">
        <w:t>SCS to work with each library individually, since systems and data practices vary widely across the group.</w:t>
      </w:r>
    </w:p>
    <w:p w:rsidR="0016321F" w:rsidRDefault="0016321F" w:rsidP="00A47D0E">
      <w:pPr>
        <w:pStyle w:val="NoSpacing"/>
      </w:pPr>
    </w:p>
    <w:p w:rsidR="0016321F" w:rsidRDefault="0016321F" w:rsidP="00A47D0E">
      <w:pPr>
        <w:pStyle w:val="NoSpacing"/>
      </w:pPr>
      <w:r>
        <w:t>As the data extracts are being defined and prepared, at each institution, it will be important to have a cataloger, or someone who understands the institution’s data practices over time; i.e., what classification schemes are in use, what is the call number hierarchy, has a reclamation project been done recently? Similarly, someone from Access Services can inform us about in-house usage counts, treatment of historical circulation data during systems migrations, etc. And of course, someone from Collections to help with scoping, and decisions about comparator groups.</w:t>
      </w:r>
    </w:p>
    <w:p w:rsidR="0016321F" w:rsidRDefault="0016321F" w:rsidP="00A47D0E">
      <w:pPr>
        <w:pStyle w:val="NoSpacing"/>
        <w:tabs>
          <w:tab w:val="left" w:pos="5864"/>
        </w:tabs>
      </w:pPr>
      <w:r>
        <w:tab/>
      </w:r>
    </w:p>
    <w:p w:rsidR="0016321F" w:rsidRDefault="002943A1" w:rsidP="00A47D0E">
      <w:pPr>
        <w:pStyle w:val="NoSpacing"/>
      </w:pPr>
      <w:r>
        <w:t>OCLC/</w:t>
      </w:r>
      <w:r w:rsidR="0016321F">
        <w:t>SCS will make every effort to use each library’s time carefully, but it is critical to get these details</w:t>
      </w:r>
      <w:r w:rsidR="00CF262D">
        <w:t xml:space="preserve"> right</w:t>
      </w:r>
      <w:r w:rsidR="0016321F">
        <w:t xml:space="preserve"> at the outset of a project. At the group level, we may need conversations about </w:t>
      </w:r>
      <w:r w:rsidR="00CF262D">
        <w:t xml:space="preserve">what to do if, for instance, </w:t>
      </w:r>
      <w:r w:rsidR="0016321F">
        <w:t>circulation data varies too widely across the group.</w:t>
      </w:r>
    </w:p>
    <w:p w:rsidR="0031276D" w:rsidRDefault="0031276D" w:rsidP="00A47D0E">
      <w:pPr>
        <w:pStyle w:val="NoSpacing"/>
      </w:pPr>
    </w:p>
    <w:p w:rsidR="0016321F" w:rsidRDefault="0016321F" w:rsidP="00A47D0E">
      <w:pPr>
        <w:pStyle w:val="NoSpacing"/>
      </w:pPr>
      <w:r>
        <w:t xml:space="preserve">Finally, it can be immensely helpful in group projects to have a designated project manager, who can help with communication, facilitation, dissemination of information, and in general assuring that the group perspective be represented. This will be an important role at the outset of the project, when structural decisions are made, but also over time, as the group considers scenarios, allocation, data remediation, addition of other libraries, and works to resolve the inevitable mistakes or misunderstandings. An email listserv can be a valuable tool in this context if that can be provided. </w:t>
      </w:r>
    </w:p>
    <w:p w:rsidR="0016321F" w:rsidRPr="0016321F" w:rsidRDefault="0016321F" w:rsidP="0016321F">
      <w:pPr>
        <w:pStyle w:val="NoSpacing"/>
        <w:ind w:left="360"/>
        <w:rPr>
          <w:b/>
        </w:rPr>
      </w:pPr>
    </w:p>
    <w:p w:rsidR="00C83580" w:rsidRPr="009D0EA9" w:rsidRDefault="00C83580" w:rsidP="00C83580">
      <w:pPr>
        <w:pStyle w:val="NoSpacing"/>
      </w:pPr>
      <w:r w:rsidRPr="005311F2">
        <w:rPr>
          <w:b/>
        </w:rPr>
        <w:t>Cost Estimate</w:t>
      </w:r>
    </w:p>
    <w:p w:rsidR="00C83580" w:rsidRDefault="002943A1" w:rsidP="00C83580">
      <w:pPr>
        <w:pStyle w:val="NoSpacing"/>
      </w:pPr>
      <w:r>
        <w:t>OCLC/</w:t>
      </w:r>
      <w:r w:rsidR="00C83580">
        <w:t xml:space="preserve">SCS services and pricing are focused on a single goal: project success. It is not always possible to know at the outset what problems will be encountered or what new opportunities may be identified in the course of the work. </w:t>
      </w:r>
      <w:r>
        <w:t>OCLC/</w:t>
      </w:r>
      <w:r w:rsidR="00C83580">
        <w:t xml:space="preserve">SCS services and pricing are structured to assure that we can adapt as needed to changing circumstances in pursuit of the group’s objectives. Group projects in particular demand that flexibility. Our commitment is that </w:t>
      </w:r>
      <w:r>
        <w:t>OCLC/</w:t>
      </w:r>
      <w:r w:rsidR="00C83580">
        <w:t>SCS will do everything possible to help the Group attain its objectives for print book management.</w:t>
      </w:r>
    </w:p>
    <w:p w:rsidR="00C83580" w:rsidRDefault="00C83580" w:rsidP="00C83580">
      <w:pPr>
        <w:pStyle w:val="NoSpacing"/>
      </w:pPr>
    </w:p>
    <w:p w:rsidR="0006091E" w:rsidRDefault="0006091E" w:rsidP="009B45C4">
      <w:pPr>
        <w:pStyle w:val="NoSpacing"/>
      </w:pPr>
    </w:p>
    <w:p w:rsidR="009B45C4" w:rsidRDefault="009B45C4" w:rsidP="009B45C4">
      <w:pPr>
        <w:pStyle w:val="NoSpacing"/>
      </w:pPr>
      <w:r>
        <w:t xml:space="preserve">Pricing for group data analysis is based on the following model. For </w:t>
      </w:r>
      <w:r w:rsidRPr="00124B73">
        <w:rPr>
          <w:i/>
        </w:rPr>
        <w:t>each data set</w:t>
      </w:r>
      <w:r>
        <w:t xml:space="preserve"> loaded to </w:t>
      </w:r>
      <w:r w:rsidR="002943A1">
        <w:t>OCLC/</w:t>
      </w:r>
      <w:r>
        <w:t xml:space="preserve">SCS servers: </w:t>
      </w:r>
    </w:p>
    <w:p w:rsidR="009B45C4" w:rsidRDefault="009B45C4" w:rsidP="009B45C4">
      <w:pPr>
        <w:pStyle w:val="NoSpacing"/>
        <w:ind w:left="270"/>
        <w:rPr>
          <w:rFonts w:cs="Tahoma"/>
        </w:rPr>
      </w:pPr>
    </w:p>
    <w:p w:rsidR="009B45C4" w:rsidRDefault="009B45C4" w:rsidP="009B45C4">
      <w:pPr>
        <w:pStyle w:val="NoSpacing"/>
        <w:ind w:left="270"/>
        <w:rPr>
          <w:rFonts w:cs="Tahoma"/>
        </w:rPr>
      </w:pPr>
      <w:r>
        <w:rPr>
          <w:rFonts w:cs="Tahoma"/>
        </w:rPr>
        <w:t>$5,000</w:t>
      </w:r>
      <w:r>
        <w:rPr>
          <w:rFonts w:cs="Tahoma"/>
        </w:rPr>
        <w:tab/>
        <w:t xml:space="preserve"> set-up fee</w:t>
      </w:r>
    </w:p>
    <w:p w:rsidR="009B45C4" w:rsidRDefault="009B45C4" w:rsidP="009B45C4">
      <w:pPr>
        <w:pStyle w:val="NoSpacing"/>
        <w:ind w:left="270"/>
        <w:rPr>
          <w:rFonts w:cs="Tahoma"/>
        </w:rPr>
      </w:pPr>
      <w:r>
        <w:rPr>
          <w:rFonts w:cs="Tahoma"/>
        </w:rPr>
        <w:t>$.03</w:t>
      </w:r>
      <w:r>
        <w:rPr>
          <w:rFonts w:cs="Tahoma"/>
        </w:rPr>
        <w:tab/>
      </w:r>
      <w:r>
        <w:rPr>
          <w:rFonts w:cs="Tahoma"/>
        </w:rPr>
        <w:tab/>
        <w:t>per bibliographic record (up to 1 million)</w:t>
      </w:r>
    </w:p>
    <w:p w:rsidR="009B45C4" w:rsidRDefault="009B45C4" w:rsidP="009B45C4">
      <w:pPr>
        <w:pStyle w:val="NoSpacing"/>
        <w:ind w:left="270"/>
        <w:rPr>
          <w:rFonts w:cs="Tahoma"/>
        </w:rPr>
      </w:pPr>
      <w:r>
        <w:rPr>
          <w:rFonts w:cs="Tahoma"/>
        </w:rPr>
        <w:t>$.015</w:t>
      </w:r>
      <w:r>
        <w:rPr>
          <w:rFonts w:cs="Tahoma"/>
        </w:rPr>
        <w:tab/>
        <w:t>per bibliographic record (above 1 million)</w:t>
      </w:r>
      <w:r>
        <w:rPr>
          <w:rFonts w:cs="Tahoma"/>
        </w:rPr>
        <w:tab/>
      </w:r>
    </w:p>
    <w:p w:rsidR="009B45C4" w:rsidRDefault="009B45C4" w:rsidP="009B45C4">
      <w:pPr>
        <w:pStyle w:val="NoSpacing"/>
        <w:ind w:left="270"/>
        <w:rPr>
          <w:rFonts w:cs="Tahoma"/>
        </w:rPr>
      </w:pPr>
      <w:r>
        <w:rPr>
          <w:rFonts w:cs="Tahoma"/>
        </w:rPr>
        <w:t>8-20%</w:t>
      </w:r>
      <w:r>
        <w:rPr>
          <w:rFonts w:cs="Tahoma"/>
        </w:rPr>
        <w:tab/>
        <w:t>Group project charge</w:t>
      </w:r>
    </w:p>
    <w:p w:rsidR="009B45C4" w:rsidRDefault="009B45C4" w:rsidP="009B45C4">
      <w:pPr>
        <w:pStyle w:val="NoSpacing"/>
        <w:ind w:left="990"/>
        <w:rPr>
          <w:rFonts w:cs="Tahoma"/>
        </w:rPr>
      </w:pPr>
    </w:p>
    <w:p w:rsidR="009B45C4" w:rsidRDefault="009B45C4" w:rsidP="00A145C9">
      <w:pPr>
        <w:pStyle w:val="NoSpacing"/>
        <w:ind w:left="270"/>
        <w:rPr>
          <w:rFonts w:cs="Tahoma"/>
        </w:rPr>
      </w:pPr>
      <w:r>
        <w:rPr>
          <w:rFonts w:cs="Tahoma"/>
        </w:rPr>
        <w:t>(includes data consolidation/harmonization, communication &amp; facilitation, onsite meetings, record de-duplication where necessary, individual library and group-level tallies, multi-party scenario development, allocation of retention responsibil</w:t>
      </w:r>
      <w:r w:rsidR="0073197C">
        <w:rPr>
          <w:rFonts w:cs="Tahoma"/>
        </w:rPr>
        <w:t>ities</w:t>
      </w:r>
      <w:r>
        <w:rPr>
          <w:rFonts w:cs="Tahoma"/>
        </w:rPr>
        <w:t xml:space="preserve"> across multiple libraries, and a range of other tasks not required for individual library projects.) The rate varies depending on project scale and complexity, and the likely number of site visits required.</w:t>
      </w:r>
    </w:p>
    <w:p w:rsidR="0073197C" w:rsidRDefault="0073197C" w:rsidP="0073197C">
      <w:pPr>
        <w:pStyle w:val="NoSpacing"/>
      </w:pPr>
    </w:p>
    <w:p w:rsidR="00CA7BF5" w:rsidRDefault="00CA7BF5" w:rsidP="0073197C">
      <w:pPr>
        <w:pStyle w:val="NoSpacing"/>
      </w:pPr>
      <w:r>
        <w:t>A comp</w:t>
      </w:r>
      <w:r w:rsidR="00334C7C">
        <w:t>lete estimate for MI-SPI is inserted below, and is based on:</w:t>
      </w:r>
    </w:p>
    <w:p w:rsidR="0073197C" w:rsidRDefault="0073197C" w:rsidP="0073197C">
      <w:pPr>
        <w:pStyle w:val="NoSpacing"/>
      </w:pPr>
    </w:p>
    <w:p w:rsidR="00CA7BF5" w:rsidRDefault="00CA7BF5" w:rsidP="00334C7C">
      <w:pPr>
        <w:pStyle w:val="NoSpacing"/>
        <w:numPr>
          <w:ilvl w:val="0"/>
          <w:numId w:val="18"/>
        </w:numPr>
      </w:pPr>
      <w:r>
        <w:t>Category 1 libraries follow the model above.</w:t>
      </w:r>
    </w:p>
    <w:p w:rsidR="00334C7C" w:rsidRDefault="00334C7C" w:rsidP="00334C7C">
      <w:pPr>
        <w:pStyle w:val="NoSpacing"/>
        <w:ind w:left="360"/>
      </w:pPr>
    </w:p>
    <w:p w:rsidR="00CA7BF5" w:rsidRDefault="002943A1" w:rsidP="00334C7C">
      <w:pPr>
        <w:pStyle w:val="NoSpacing"/>
        <w:numPr>
          <w:ilvl w:val="0"/>
          <w:numId w:val="18"/>
        </w:numPr>
      </w:pPr>
      <w:r>
        <w:t>Category 2 retention lists (EMU and WMU</w:t>
      </w:r>
      <w:r w:rsidR="00CA7BF5">
        <w:t xml:space="preserve">) are charged a </w:t>
      </w:r>
      <w:r>
        <w:t>set-up fee for each</w:t>
      </w:r>
      <w:r w:rsidR="00CA7BF5">
        <w:t xml:space="preserve"> to configure those lists for re-use.</w:t>
      </w:r>
    </w:p>
    <w:p w:rsidR="00334C7C" w:rsidRDefault="00334C7C" w:rsidP="00334C7C">
      <w:pPr>
        <w:pStyle w:val="NoSpacing"/>
      </w:pPr>
    </w:p>
    <w:p w:rsidR="00CA7BF5" w:rsidRDefault="00334C7C" w:rsidP="00334C7C">
      <w:pPr>
        <w:pStyle w:val="NoSpacing"/>
        <w:keepNext/>
        <w:numPr>
          <w:ilvl w:val="0"/>
          <w:numId w:val="18"/>
        </w:numPr>
        <w:rPr>
          <w:rFonts w:cs="Tahoma"/>
        </w:rPr>
      </w:pPr>
      <w:r>
        <w:t>An 8</w:t>
      </w:r>
      <w:r w:rsidR="00CA7BF5">
        <w:t>% group project charge i</w:t>
      </w:r>
      <w:r>
        <w:t xml:space="preserve">s assumed—at the low end of our range. </w:t>
      </w:r>
      <w:r w:rsidRPr="00DE2795">
        <w:rPr>
          <w:rFonts w:cs="Tahoma"/>
        </w:rPr>
        <w:t>This is because the number of different ILS syst</w:t>
      </w:r>
      <w:r>
        <w:rPr>
          <w:rFonts w:cs="Tahoma"/>
        </w:rPr>
        <w:t>ems involved is small, because MCLS supports consolidated invoicing, and because of previous experience—SCS has a reasonable idea of the level of complexity involved. Nonetheless, additional work will be required to make the data usable at the group level, and additional communication and facilitation (including onsite meetings) will be necessary. The group project charge reflects those additional commitments.</w:t>
      </w:r>
    </w:p>
    <w:p w:rsidR="00334C7C" w:rsidRPr="00334C7C" w:rsidRDefault="00334C7C" w:rsidP="00334C7C">
      <w:pPr>
        <w:pStyle w:val="NoSpacing"/>
        <w:keepNext/>
        <w:rPr>
          <w:rFonts w:cs="Tahoma"/>
        </w:rPr>
      </w:pPr>
    </w:p>
    <w:p w:rsidR="00334C7C" w:rsidRDefault="00334C7C" w:rsidP="00334C7C">
      <w:pPr>
        <w:pStyle w:val="NoSpacing"/>
      </w:pPr>
    </w:p>
    <w:tbl>
      <w:tblPr>
        <w:tblStyle w:val="TableGrid"/>
        <w:tblW w:w="0" w:type="auto"/>
        <w:tblLook w:val="04A0" w:firstRow="1" w:lastRow="0" w:firstColumn="1" w:lastColumn="0" w:noHBand="0" w:noVBand="1"/>
      </w:tblPr>
      <w:tblGrid>
        <w:gridCol w:w="3267"/>
        <w:gridCol w:w="1297"/>
        <w:gridCol w:w="942"/>
        <w:gridCol w:w="1290"/>
        <w:gridCol w:w="1415"/>
        <w:gridCol w:w="1054"/>
      </w:tblGrid>
      <w:tr w:rsidR="00334C7C" w:rsidTr="00BC65A1">
        <w:tc>
          <w:tcPr>
            <w:tcW w:w="0" w:type="auto"/>
          </w:tcPr>
          <w:p w:rsidR="00334C7C" w:rsidRPr="0065112E" w:rsidRDefault="00334C7C" w:rsidP="00BC65A1">
            <w:pPr>
              <w:pStyle w:val="NoSpacing"/>
              <w:rPr>
                <w:b/>
              </w:rPr>
            </w:pPr>
            <w:r>
              <w:rPr>
                <w:b/>
              </w:rPr>
              <w:t>Institution Name</w:t>
            </w:r>
          </w:p>
        </w:tc>
        <w:tc>
          <w:tcPr>
            <w:tcW w:w="0" w:type="auto"/>
          </w:tcPr>
          <w:p w:rsidR="00334C7C" w:rsidRPr="00FB23C7" w:rsidRDefault="00334C7C" w:rsidP="00BC65A1">
            <w:pPr>
              <w:pStyle w:val="NoSpacing"/>
              <w:rPr>
                <w:b/>
              </w:rPr>
            </w:pPr>
            <w:r>
              <w:rPr>
                <w:b/>
              </w:rPr>
              <w:t># of records</w:t>
            </w:r>
          </w:p>
        </w:tc>
        <w:tc>
          <w:tcPr>
            <w:tcW w:w="0" w:type="auto"/>
          </w:tcPr>
          <w:p w:rsidR="00334C7C" w:rsidRDefault="00334C7C" w:rsidP="00BC65A1">
            <w:pPr>
              <w:pStyle w:val="NoSpacing"/>
              <w:rPr>
                <w:b/>
              </w:rPr>
            </w:pPr>
            <w:r>
              <w:rPr>
                <w:b/>
              </w:rPr>
              <w:t>Set-up</w:t>
            </w:r>
          </w:p>
        </w:tc>
        <w:tc>
          <w:tcPr>
            <w:tcW w:w="0" w:type="auto"/>
          </w:tcPr>
          <w:p w:rsidR="00334C7C" w:rsidRDefault="00334C7C" w:rsidP="00BC65A1">
            <w:pPr>
              <w:pStyle w:val="NoSpacing"/>
              <w:rPr>
                <w:b/>
              </w:rPr>
            </w:pPr>
            <w:r>
              <w:rPr>
                <w:b/>
              </w:rPr>
              <w:t>Bibs @ $.03</w:t>
            </w:r>
          </w:p>
        </w:tc>
        <w:tc>
          <w:tcPr>
            <w:tcW w:w="0" w:type="auto"/>
          </w:tcPr>
          <w:p w:rsidR="00334C7C" w:rsidRDefault="00334C7C" w:rsidP="00BC65A1">
            <w:pPr>
              <w:pStyle w:val="NoSpacing"/>
              <w:rPr>
                <w:b/>
              </w:rPr>
            </w:pPr>
            <w:r>
              <w:rPr>
                <w:b/>
              </w:rPr>
              <w:t xml:space="preserve">8% </w:t>
            </w:r>
          </w:p>
          <w:p w:rsidR="00334C7C" w:rsidRDefault="00334C7C" w:rsidP="00BC65A1">
            <w:pPr>
              <w:pStyle w:val="NoSpacing"/>
              <w:rPr>
                <w:b/>
              </w:rPr>
            </w:pPr>
            <w:r>
              <w:rPr>
                <w:b/>
              </w:rPr>
              <w:t>group charge</w:t>
            </w:r>
          </w:p>
        </w:tc>
        <w:tc>
          <w:tcPr>
            <w:tcW w:w="0" w:type="auto"/>
          </w:tcPr>
          <w:p w:rsidR="00334C7C" w:rsidRDefault="00334C7C" w:rsidP="00BC65A1">
            <w:pPr>
              <w:pStyle w:val="NoSpacing"/>
              <w:rPr>
                <w:b/>
              </w:rPr>
            </w:pPr>
            <w:r>
              <w:rPr>
                <w:b/>
              </w:rPr>
              <w:t xml:space="preserve">Total </w:t>
            </w:r>
          </w:p>
        </w:tc>
      </w:tr>
      <w:tr w:rsidR="00334C7C" w:rsidTr="00BC65A1">
        <w:tc>
          <w:tcPr>
            <w:tcW w:w="0" w:type="auto"/>
          </w:tcPr>
          <w:p w:rsidR="00334C7C" w:rsidRDefault="00334C7C" w:rsidP="00BC65A1">
            <w:pPr>
              <w:pStyle w:val="NoSpacing"/>
            </w:pPr>
            <w:r>
              <w:t>Central Michigan University</w:t>
            </w:r>
          </w:p>
        </w:tc>
        <w:tc>
          <w:tcPr>
            <w:tcW w:w="0" w:type="auto"/>
          </w:tcPr>
          <w:p w:rsidR="00334C7C" w:rsidRDefault="00334C7C" w:rsidP="00BC65A1">
            <w:pPr>
              <w:pStyle w:val="NoSpacing"/>
            </w:pPr>
            <w:r>
              <w:t>558,759</w:t>
            </w:r>
          </w:p>
        </w:tc>
        <w:tc>
          <w:tcPr>
            <w:tcW w:w="0" w:type="auto"/>
          </w:tcPr>
          <w:p w:rsidR="00334C7C" w:rsidRDefault="00334C7C" w:rsidP="00BC65A1">
            <w:pPr>
              <w:pStyle w:val="NoSpacing"/>
            </w:pPr>
            <w:r>
              <w:t>$5,000</w:t>
            </w:r>
          </w:p>
        </w:tc>
        <w:tc>
          <w:tcPr>
            <w:tcW w:w="0" w:type="auto"/>
          </w:tcPr>
          <w:p w:rsidR="00334C7C" w:rsidRDefault="00334C7C" w:rsidP="00BC65A1">
            <w:pPr>
              <w:pStyle w:val="NoSpacing"/>
            </w:pPr>
            <w:r>
              <w:t>$16,763</w:t>
            </w:r>
          </w:p>
        </w:tc>
        <w:tc>
          <w:tcPr>
            <w:tcW w:w="0" w:type="auto"/>
          </w:tcPr>
          <w:p w:rsidR="00334C7C" w:rsidRDefault="00334C7C" w:rsidP="00BC65A1">
            <w:pPr>
              <w:pStyle w:val="NoSpacing"/>
            </w:pPr>
            <w:r>
              <w:t>$1,741</w:t>
            </w:r>
          </w:p>
        </w:tc>
        <w:tc>
          <w:tcPr>
            <w:tcW w:w="0" w:type="auto"/>
          </w:tcPr>
          <w:p w:rsidR="00334C7C" w:rsidRDefault="00334C7C" w:rsidP="00BC65A1">
            <w:pPr>
              <w:pStyle w:val="NoSpacing"/>
            </w:pPr>
            <w:r>
              <w:t>$23,504</w:t>
            </w:r>
          </w:p>
        </w:tc>
      </w:tr>
      <w:tr w:rsidR="00334C7C" w:rsidTr="00BC65A1">
        <w:tc>
          <w:tcPr>
            <w:tcW w:w="0" w:type="auto"/>
          </w:tcPr>
          <w:p w:rsidR="00334C7C" w:rsidRDefault="00334C7C" w:rsidP="00BC65A1">
            <w:pPr>
              <w:pStyle w:val="NoSpacing"/>
            </w:pPr>
            <w:r>
              <w:t>Eastern Michigan University</w:t>
            </w:r>
          </w:p>
        </w:tc>
        <w:tc>
          <w:tcPr>
            <w:tcW w:w="0" w:type="auto"/>
          </w:tcPr>
          <w:p w:rsidR="00334C7C" w:rsidRDefault="00334C7C" w:rsidP="00BC65A1">
            <w:pPr>
              <w:pStyle w:val="NoSpacing"/>
            </w:pPr>
          </w:p>
        </w:tc>
        <w:tc>
          <w:tcPr>
            <w:tcW w:w="0" w:type="auto"/>
          </w:tcPr>
          <w:p w:rsidR="00334C7C" w:rsidRDefault="00334C7C" w:rsidP="00BC65A1">
            <w:pPr>
              <w:pStyle w:val="NoSpacing"/>
            </w:pPr>
            <w:r>
              <w:t>$5,000</w:t>
            </w:r>
          </w:p>
        </w:tc>
        <w:tc>
          <w:tcPr>
            <w:tcW w:w="0" w:type="auto"/>
          </w:tcPr>
          <w:p w:rsidR="00334C7C" w:rsidRDefault="00334C7C" w:rsidP="00BC65A1">
            <w:pPr>
              <w:pStyle w:val="NoSpacing"/>
            </w:pPr>
          </w:p>
        </w:tc>
        <w:tc>
          <w:tcPr>
            <w:tcW w:w="0" w:type="auto"/>
          </w:tcPr>
          <w:p w:rsidR="00334C7C" w:rsidRDefault="00334C7C" w:rsidP="00BC65A1">
            <w:pPr>
              <w:pStyle w:val="NoSpacing"/>
            </w:pPr>
          </w:p>
        </w:tc>
        <w:tc>
          <w:tcPr>
            <w:tcW w:w="0" w:type="auto"/>
          </w:tcPr>
          <w:p w:rsidR="00334C7C" w:rsidRDefault="00334C7C" w:rsidP="00BC65A1">
            <w:pPr>
              <w:pStyle w:val="NoSpacing"/>
            </w:pPr>
            <w:r>
              <w:t>$5,000</w:t>
            </w:r>
          </w:p>
        </w:tc>
      </w:tr>
      <w:tr w:rsidR="00334C7C" w:rsidTr="00BC65A1">
        <w:tc>
          <w:tcPr>
            <w:tcW w:w="0" w:type="auto"/>
          </w:tcPr>
          <w:p w:rsidR="00334C7C" w:rsidRDefault="00334C7C" w:rsidP="00BC65A1">
            <w:pPr>
              <w:pStyle w:val="NoSpacing"/>
            </w:pPr>
            <w:r>
              <w:t>Ferris State University</w:t>
            </w:r>
          </w:p>
        </w:tc>
        <w:tc>
          <w:tcPr>
            <w:tcW w:w="0" w:type="auto"/>
          </w:tcPr>
          <w:p w:rsidR="00334C7C" w:rsidRDefault="00334C7C" w:rsidP="00BC65A1">
            <w:pPr>
              <w:pStyle w:val="NoSpacing"/>
            </w:pPr>
            <w:r>
              <w:t>153,422</w:t>
            </w:r>
          </w:p>
        </w:tc>
        <w:tc>
          <w:tcPr>
            <w:tcW w:w="0" w:type="auto"/>
          </w:tcPr>
          <w:p w:rsidR="00334C7C" w:rsidRDefault="00334C7C" w:rsidP="00BC65A1">
            <w:pPr>
              <w:pStyle w:val="NoSpacing"/>
            </w:pPr>
            <w:r>
              <w:t>$5,000</w:t>
            </w:r>
          </w:p>
        </w:tc>
        <w:tc>
          <w:tcPr>
            <w:tcW w:w="0" w:type="auto"/>
          </w:tcPr>
          <w:p w:rsidR="00334C7C" w:rsidRDefault="00334C7C" w:rsidP="00BC65A1">
            <w:pPr>
              <w:pStyle w:val="NoSpacing"/>
            </w:pPr>
            <w:r>
              <w:t>$4,603</w:t>
            </w:r>
          </w:p>
        </w:tc>
        <w:tc>
          <w:tcPr>
            <w:tcW w:w="0" w:type="auto"/>
          </w:tcPr>
          <w:p w:rsidR="00334C7C" w:rsidRDefault="00334C7C" w:rsidP="00BC65A1">
            <w:pPr>
              <w:pStyle w:val="NoSpacing"/>
            </w:pPr>
            <w:r>
              <w:t>$768</w:t>
            </w:r>
          </w:p>
        </w:tc>
        <w:tc>
          <w:tcPr>
            <w:tcW w:w="0" w:type="auto"/>
          </w:tcPr>
          <w:p w:rsidR="00334C7C" w:rsidRDefault="00334C7C" w:rsidP="00BC65A1">
            <w:pPr>
              <w:pStyle w:val="NoSpacing"/>
            </w:pPr>
            <w:r>
              <w:t>$10,371</w:t>
            </w:r>
          </w:p>
        </w:tc>
      </w:tr>
      <w:tr w:rsidR="00334C7C" w:rsidTr="00BC65A1">
        <w:tc>
          <w:tcPr>
            <w:tcW w:w="0" w:type="auto"/>
          </w:tcPr>
          <w:p w:rsidR="00334C7C" w:rsidRDefault="00334C7C" w:rsidP="00BC65A1">
            <w:pPr>
              <w:pStyle w:val="NoSpacing"/>
            </w:pPr>
            <w:r>
              <w:t>Grand Valley State University</w:t>
            </w:r>
          </w:p>
        </w:tc>
        <w:tc>
          <w:tcPr>
            <w:tcW w:w="0" w:type="auto"/>
          </w:tcPr>
          <w:p w:rsidR="00334C7C" w:rsidRDefault="00334C7C" w:rsidP="00BC65A1">
            <w:pPr>
              <w:pStyle w:val="NoSpacing"/>
            </w:pPr>
            <w:r>
              <w:t>292,904</w:t>
            </w:r>
          </w:p>
        </w:tc>
        <w:tc>
          <w:tcPr>
            <w:tcW w:w="0" w:type="auto"/>
          </w:tcPr>
          <w:p w:rsidR="00334C7C" w:rsidRDefault="00334C7C" w:rsidP="00BC65A1">
            <w:pPr>
              <w:pStyle w:val="NoSpacing"/>
            </w:pPr>
            <w:r>
              <w:t>$5,000</w:t>
            </w:r>
          </w:p>
        </w:tc>
        <w:tc>
          <w:tcPr>
            <w:tcW w:w="0" w:type="auto"/>
          </w:tcPr>
          <w:p w:rsidR="00334C7C" w:rsidRDefault="00334C7C" w:rsidP="00BC65A1">
            <w:pPr>
              <w:pStyle w:val="NoSpacing"/>
            </w:pPr>
            <w:r>
              <w:t>$8,787</w:t>
            </w:r>
          </w:p>
        </w:tc>
        <w:tc>
          <w:tcPr>
            <w:tcW w:w="0" w:type="auto"/>
          </w:tcPr>
          <w:p w:rsidR="00334C7C" w:rsidRDefault="00334C7C" w:rsidP="00BC65A1">
            <w:pPr>
              <w:pStyle w:val="NoSpacing"/>
            </w:pPr>
            <w:r>
              <w:t>$1,103</w:t>
            </w:r>
          </w:p>
        </w:tc>
        <w:tc>
          <w:tcPr>
            <w:tcW w:w="0" w:type="auto"/>
          </w:tcPr>
          <w:p w:rsidR="00334C7C" w:rsidRDefault="00334C7C" w:rsidP="00BC65A1">
            <w:pPr>
              <w:pStyle w:val="NoSpacing"/>
            </w:pPr>
            <w:r>
              <w:t>$14,890</w:t>
            </w:r>
          </w:p>
        </w:tc>
      </w:tr>
      <w:tr w:rsidR="00334C7C" w:rsidTr="00BC65A1">
        <w:tc>
          <w:tcPr>
            <w:tcW w:w="0" w:type="auto"/>
          </w:tcPr>
          <w:p w:rsidR="00334C7C" w:rsidRDefault="00334C7C" w:rsidP="00BC65A1">
            <w:pPr>
              <w:pStyle w:val="NoSpacing"/>
            </w:pPr>
            <w:r>
              <w:t>Michigan-Dearborn, Univ of</w:t>
            </w:r>
          </w:p>
        </w:tc>
        <w:tc>
          <w:tcPr>
            <w:tcW w:w="0" w:type="auto"/>
          </w:tcPr>
          <w:p w:rsidR="00334C7C" w:rsidRDefault="00334C7C" w:rsidP="00BC65A1">
            <w:pPr>
              <w:pStyle w:val="NoSpacing"/>
            </w:pPr>
            <w:r>
              <w:t>238,792</w:t>
            </w:r>
          </w:p>
        </w:tc>
        <w:tc>
          <w:tcPr>
            <w:tcW w:w="0" w:type="auto"/>
          </w:tcPr>
          <w:p w:rsidR="00334C7C" w:rsidRDefault="00334C7C" w:rsidP="00BC65A1">
            <w:pPr>
              <w:pStyle w:val="NoSpacing"/>
            </w:pPr>
            <w:r>
              <w:t>$5,000</w:t>
            </w:r>
          </w:p>
        </w:tc>
        <w:tc>
          <w:tcPr>
            <w:tcW w:w="0" w:type="auto"/>
          </w:tcPr>
          <w:p w:rsidR="00334C7C" w:rsidRDefault="00334C7C" w:rsidP="00BC65A1">
            <w:pPr>
              <w:pStyle w:val="NoSpacing"/>
            </w:pPr>
            <w:r>
              <w:t>$7,164</w:t>
            </w:r>
          </w:p>
        </w:tc>
        <w:tc>
          <w:tcPr>
            <w:tcW w:w="0" w:type="auto"/>
          </w:tcPr>
          <w:p w:rsidR="00334C7C" w:rsidRDefault="00334C7C" w:rsidP="00BC65A1">
            <w:pPr>
              <w:pStyle w:val="NoSpacing"/>
            </w:pPr>
            <w:r>
              <w:t>$973</w:t>
            </w:r>
          </w:p>
        </w:tc>
        <w:tc>
          <w:tcPr>
            <w:tcW w:w="0" w:type="auto"/>
          </w:tcPr>
          <w:p w:rsidR="00334C7C" w:rsidRDefault="00334C7C" w:rsidP="00BC65A1">
            <w:pPr>
              <w:pStyle w:val="NoSpacing"/>
            </w:pPr>
            <w:r>
              <w:t>$13,137</w:t>
            </w:r>
          </w:p>
        </w:tc>
      </w:tr>
      <w:tr w:rsidR="00334C7C" w:rsidTr="00BC65A1">
        <w:tc>
          <w:tcPr>
            <w:tcW w:w="0" w:type="auto"/>
          </w:tcPr>
          <w:p w:rsidR="00334C7C" w:rsidRDefault="00334C7C" w:rsidP="00BC65A1">
            <w:pPr>
              <w:pStyle w:val="NoSpacing"/>
            </w:pPr>
            <w:r>
              <w:t>Michigan Technological University</w:t>
            </w:r>
          </w:p>
        </w:tc>
        <w:tc>
          <w:tcPr>
            <w:tcW w:w="0" w:type="auto"/>
          </w:tcPr>
          <w:p w:rsidR="00334C7C" w:rsidRDefault="00334C7C" w:rsidP="00BC65A1">
            <w:pPr>
              <w:pStyle w:val="NoSpacing"/>
            </w:pPr>
            <w:r>
              <w:t>174,538</w:t>
            </w:r>
          </w:p>
        </w:tc>
        <w:tc>
          <w:tcPr>
            <w:tcW w:w="0" w:type="auto"/>
          </w:tcPr>
          <w:p w:rsidR="00334C7C" w:rsidRDefault="00334C7C" w:rsidP="00BC65A1">
            <w:pPr>
              <w:pStyle w:val="NoSpacing"/>
            </w:pPr>
            <w:r>
              <w:t>$5,000</w:t>
            </w:r>
          </w:p>
        </w:tc>
        <w:tc>
          <w:tcPr>
            <w:tcW w:w="0" w:type="auto"/>
          </w:tcPr>
          <w:p w:rsidR="00334C7C" w:rsidRDefault="00334C7C" w:rsidP="00BC65A1">
            <w:pPr>
              <w:pStyle w:val="NoSpacing"/>
            </w:pPr>
            <w:r>
              <w:t>$5,236</w:t>
            </w:r>
          </w:p>
        </w:tc>
        <w:tc>
          <w:tcPr>
            <w:tcW w:w="0" w:type="auto"/>
          </w:tcPr>
          <w:p w:rsidR="00334C7C" w:rsidRDefault="00334C7C" w:rsidP="00BC65A1">
            <w:pPr>
              <w:pStyle w:val="NoSpacing"/>
            </w:pPr>
            <w:r>
              <w:t>$819</w:t>
            </w:r>
          </w:p>
        </w:tc>
        <w:tc>
          <w:tcPr>
            <w:tcW w:w="0" w:type="auto"/>
          </w:tcPr>
          <w:p w:rsidR="00334C7C" w:rsidRDefault="00334C7C" w:rsidP="00BC65A1">
            <w:pPr>
              <w:pStyle w:val="NoSpacing"/>
            </w:pPr>
            <w:r>
              <w:t>$11,055</w:t>
            </w:r>
          </w:p>
        </w:tc>
      </w:tr>
      <w:tr w:rsidR="00334C7C" w:rsidTr="00BC65A1">
        <w:tc>
          <w:tcPr>
            <w:tcW w:w="0" w:type="auto"/>
          </w:tcPr>
          <w:p w:rsidR="00334C7C" w:rsidRDefault="00334C7C" w:rsidP="00BC65A1">
            <w:pPr>
              <w:pStyle w:val="NoSpacing"/>
            </w:pPr>
            <w:r>
              <w:t>Northern Michigan University</w:t>
            </w:r>
          </w:p>
        </w:tc>
        <w:tc>
          <w:tcPr>
            <w:tcW w:w="0" w:type="auto"/>
          </w:tcPr>
          <w:p w:rsidR="00334C7C" w:rsidRDefault="00334C7C" w:rsidP="00BC65A1">
            <w:pPr>
              <w:pStyle w:val="NoSpacing"/>
            </w:pPr>
            <w:r>
              <w:t>280,994</w:t>
            </w:r>
          </w:p>
        </w:tc>
        <w:tc>
          <w:tcPr>
            <w:tcW w:w="0" w:type="auto"/>
          </w:tcPr>
          <w:p w:rsidR="00334C7C" w:rsidRDefault="00334C7C" w:rsidP="00BC65A1">
            <w:pPr>
              <w:pStyle w:val="NoSpacing"/>
            </w:pPr>
            <w:r>
              <w:t>$5,000</w:t>
            </w:r>
          </w:p>
        </w:tc>
        <w:tc>
          <w:tcPr>
            <w:tcW w:w="0" w:type="auto"/>
          </w:tcPr>
          <w:p w:rsidR="00334C7C" w:rsidRDefault="00334C7C" w:rsidP="00BC65A1">
            <w:pPr>
              <w:pStyle w:val="NoSpacing"/>
            </w:pPr>
            <w:r>
              <w:t>$8,430</w:t>
            </w:r>
          </w:p>
        </w:tc>
        <w:tc>
          <w:tcPr>
            <w:tcW w:w="0" w:type="auto"/>
          </w:tcPr>
          <w:p w:rsidR="00334C7C" w:rsidRDefault="00334C7C" w:rsidP="00BC65A1">
            <w:pPr>
              <w:pStyle w:val="NoSpacing"/>
            </w:pPr>
            <w:r>
              <w:t>$1,074</w:t>
            </w:r>
          </w:p>
        </w:tc>
        <w:tc>
          <w:tcPr>
            <w:tcW w:w="0" w:type="auto"/>
          </w:tcPr>
          <w:p w:rsidR="00334C7C" w:rsidRDefault="00334C7C" w:rsidP="00BC65A1">
            <w:pPr>
              <w:pStyle w:val="NoSpacing"/>
            </w:pPr>
            <w:r>
              <w:t>$14,504</w:t>
            </w:r>
          </w:p>
        </w:tc>
      </w:tr>
      <w:tr w:rsidR="00334C7C" w:rsidTr="00BC65A1">
        <w:tc>
          <w:tcPr>
            <w:tcW w:w="0" w:type="auto"/>
          </w:tcPr>
          <w:p w:rsidR="00334C7C" w:rsidRDefault="00334C7C" w:rsidP="00BC65A1">
            <w:pPr>
              <w:pStyle w:val="NoSpacing"/>
            </w:pPr>
            <w:r>
              <w:t>Oakland University</w:t>
            </w:r>
          </w:p>
        </w:tc>
        <w:tc>
          <w:tcPr>
            <w:tcW w:w="0" w:type="auto"/>
          </w:tcPr>
          <w:p w:rsidR="00334C7C" w:rsidRDefault="00334C7C" w:rsidP="00BC65A1">
            <w:pPr>
              <w:pStyle w:val="NoSpacing"/>
            </w:pPr>
            <w:r>
              <w:t>384,638</w:t>
            </w:r>
          </w:p>
        </w:tc>
        <w:tc>
          <w:tcPr>
            <w:tcW w:w="0" w:type="auto"/>
          </w:tcPr>
          <w:p w:rsidR="00334C7C" w:rsidRDefault="00334C7C" w:rsidP="00BC65A1">
            <w:pPr>
              <w:pStyle w:val="NoSpacing"/>
            </w:pPr>
            <w:r>
              <w:t>$5,000</w:t>
            </w:r>
          </w:p>
        </w:tc>
        <w:tc>
          <w:tcPr>
            <w:tcW w:w="0" w:type="auto"/>
          </w:tcPr>
          <w:p w:rsidR="00334C7C" w:rsidRDefault="00334C7C" w:rsidP="00BC65A1">
            <w:pPr>
              <w:pStyle w:val="NoSpacing"/>
            </w:pPr>
            <w:r>
              <w:t>$11,539</w:t>
            </w:r>
          </w:p>
        </w:tc>
        <w:tc>
          <w:tcPr>
            <w:tcW w:w="0" w:type="auto"/>
          </w:tcPr>
          <w:p w:rsidR="00334C7C" w:rsidRDefault="00334C7C" w:rsidP="00BC65A1">
            <w:pPr>
              <w:pStyle w:val="NoSpacing"/>
            </w:pPr>
            <w:r>
              <w:t>$1,323</w:t>
            </w:r>
          </w:p>
        </w:tc>
        <w:tc>
          <w:tcPr>
            <w:tcW w:w="0" w:type="auto"/>
          </w:tcPr>
          <w:p w:rsidR="00334C7C" w:rsidRDefault="00334C7C" w:rsidP="00BC65A1">
            <w:pPr>
              <w:pStyle w:val="NoSpacing"/>
            </w:pPr>
            <w:r>
              <w:t>$17,862</w:t>
            </w:r>
          </w:p>
        </w:tc>
      </w:tr>
      <w:tr w:rsidR="00334C7C" w:rsidTr="00BC65A1">
        <w:tc>
          <w:tcPr>
            <w:tcW w:w="0" w:type="auto"/>
          </w:tcPr>
          <w:p w:rsidR="00334C7C" w:rsidRDefault="00334C7C" w:rsidP="00BC65A1">
            <w:pPr>
              <w:pStyle w:val="NoSpacing"/>
            </w:pPr>
            <w:r>
              <w:t>Saginaw Valley State University</w:t>
            </w:r>
          </w:p>
        </w:tc>
        <w:tc>
          <w:tcPr>
            <w:tcW w:w="0" w:type="auto"/>
          </w:tcPr>
          <w:p w:rsidR="00334C7C" w:rsidRDefault="00334C7C" w:rsidP="00BC65A1">
            <w:pPr>
              <w:pStyle w:val="NoSpacing"/>
            </w:pPr>
            <w:r>
              <w:t>169,899</w:t>
            </w:r>
          </w:p>
        </w:tc>
        <w:tc>
          <w:tcPr>
            <w:tcW w:w="0" w:type="auto"/>
          </w:tcPr>
          <w:p w:rsidR="00334C7C" w:rsidRDefault="00334C7C" w:rsidP="00BC65A1">
            <w:pPr>
              <w:pStyle w:val="NoSpacing"/>
            </w:pPr>
            <w:r>
              <w:t>$5,000</w:t>
            </w:r>
          </w:p>
        </w:tc>
        <w:tc>
          <w:tcPr>
            <w:tcW w:w="0" w:type="auto"/>
          </w:tcPr>
          <w:p w:rsidR="00334C7C" w:rsidRDefault="00334C7C" w:rsidP="00BC65A1">
            <w:pPr>
              <w:pStyle w:val="NoSpacing"/>
            </w:pPr>
            <w:r>
              <w:t>$5,097</w:t>
            </w:r>
          </w:p>
        </w:tc>
        <w:tc>
          <w:tcPr>
            <w:tcW w:w="0" w:type="auto"/>
          </w:tcPr>
          <w:p w:rsidR="00334C7C" w:rsidRDefault="00334C7C" w:rsidP="00BC65A1">
            <w:pPr>
              <w:pStyle w:val="NoSpacing"/>
            </w:pPr>
            <w:r>
              <w:t>$808</w:t>
            </w:r>
          </w:p>
        </w:tc>
        <w:tc>
          <w:tcPr>
            <w:tcW w:w="0" w:type="auto"/>
          </w:tcPr>
          <w:p w:rsidR="00334C7C" w:rsidRDefault="00334C7C" w:rsidP="00BC65A1">
            <w:pPr>
              <w:pStyle w:val="NoSpacing"/>
            </w:pPr>
            <w:r>
              <w:t>$10,905</w:t>
            </w:r>
          </w:p>
        </w:tc>
      </w:tr>
      <w:tr w:rsidR="00334C7C" w:rsidTr="00BC65A1">
        <w:tc>
          <w:tcPr>
            <w:tcW w:w="0" w:type="auto"/>
          </w:tcPr>
          <w:p w:rsidR="00334C7C" w:rsidRDefault="00334C7C" w:rsidP="00BC65A1">
            <w:pPr>
              <w:pStyle w:val="NoSpacing"/>
            </w:pPr>
            <w:r>
              <w:t>Wayne State University</w:t>
            </w:r>
          </w:p>
        </w:tc>
        <w:tc>
          <w:tcPr>
            <w:tcW w:w="0" w:type="auto"/>
          </w:tcPr>
          <w:p w:rsidR="00334C7C" w:rsidRDefault="00334C7C" w:rsidP="00BC65A1">
            <w:pPr>
              <w:pStyle w:val="NoSpacing"/>
            </w:pPr>
            <w:r>
              <w:t>700,473</w:t>
            </w:r>
          </w:p>
        </w:tc>
        <w:tc>
          <w:tcPr>
            <w:tcW w:w="0" w:type="auto"/>
          </w:tcPr>
          <w:p w:rsidR="00334C7C" w:rsidRDefault="00334C7C" w:rsidP="00BC65A1">
            <w:pPr>
              <w:pStyle w:val="NoSpacing"/>
            </w:pPr>
            <w:r>
              <w:t>$5,000</w:t>
            </w:r>
          </w:p>
        </w:tc>
        <w:tc>
          <w:tcPr>
            <w:tcW w:w="0" w:type="auto"/>
          </w:tcPr>
          <w:p w:rsidR="00334C7C" w:rsidRDefault="00334C7C" w:rsidP="00BC65A1">
            <w:pPr>
              <w:pStyle w:val="NoSpacing"/>
            </w:pPr>
            <w:r>
              <w:t>$21,014</w:t>
            </w:r>
          </w:p>
        </w:tc>
        <w:tc>
          <w:tcPr>
            <w:tcW w:w="0" w:type="auto"/>
          </w:tcPr>
          <w:p w:rsidR="00334C7C" w:rsidRDefault="00334C7C" w:rsidP="00BC65A1">
            <w:pPr>
              <w:pStyle w:val="NoSpacing"/>
            </w:pPr>
            <w:r>
              <w:t>$2,081</w:t>
            </w:r>
          </w:p>
        </w:tc>
        <w:tc>
          <w:tcPr>
            <w:tcW w:w="0" w:type="auto"/>
          </w:tcPr>
          <w:p w:rsidR="00334C7C" w:rsidRDefault="00334C7C" w:rsidP="00BC65A1">
            <w:pPr>
              <w:pStyle w:val="NoSpacing"/>
            </w:pPr>
            <w:r>
              <w:t>$28,095</w:t>
            </w:r>
          </w:p>
        </w:tc>
      </w:tr>
      <w:tr w:rsidR="00334C7C" w:rsidTr="00BC65A1">
        <w:tc>
          <w:tcPr>
            <w:tcW w:w="0" w:type="auto"/>
          </w:tcPr>
          <w:p w:rsidR="00334C7C" w:rsidRDefault="00334C7C" w:rsidP="00BC65A1">
            <w:pPr>
              <w:pStyle w:val="NoSpacing"/>
            </w:pPr>
            <w:r>
              <w:t>Western Michigan University</w:t>
            </w:r>
          </w:p>
        </w:tc>
        <w:tc>
          <w:tcPr>
            <w:tcW w:w="0" w:type="auto"/>
          </w:tcPr>
          <w:p w:rsidR="00334C7C" w:rsidRDefault="00334C7C" w:rsidP="00BC65A1">
            <w:pPr>
              <w:pStyle w:val="NoSpacing"/>
            </w:pPr>
          </w:p>
        </w:tc>
        <w:tc>
          <w:tcPr>
            <w:tcW w:w="0" w:type="auto"/>
          </w:tcPr>
          <w:p w:rsidR="00334C7C" w:rsidRDefault="00334C7C" w:rsidP="00BC65A1">
            <w:pPr>
              <w:pStyle w:val="NoSpacing"/>
            </w:pPr>
            <w:r>
              <w:t>$5,000</w:t>
            </w:r>
          </w:p>
        </w:tc>
        <w:tc>
          <w:tcPr>
            <w:tcW w:w="0" w:type="auto"/>
          </w:tcPr>
          <w:p w:rsidR="00334C7C" w:rsidRDefault="00334C7C" w:rsidP="00BC65A1">
            <w:pPr>
              <w:pStyle w:val="NoSpacing"/>
            </w:pPr>
          </w:p>
        </w:tc>
        <w:tc>
          <w:tcPr>
            <w:tcW w:w="0" w:type="auto"/>
          </w:tcPr>
          <w:p w:rsidR="00334C7C" w:rsidRDefault="00334C7C" w:rsidP="00BC65A1">
            <w:pPr>
              <w:pStyle w:val="NoSpacing"/>
            </w:pPr>
          </w:p>
        </w:tc>
        <w:tc>
          <w:tcPr>
            <w:tcW w:w="0" w:type="auto"/>
          </w:tcPr>
          <w:p w:rsidR="00334C7C" w:rsidRDefault="00334C7C" w:rsidP="00BC65A1">
            <w:pPr>
              <w:pStyle w:val="NoSpacing"/>
            </w:pPr>
            <w:r>
              <w:t>$5,000</w:t>
            </w:r>
          </w:p>
        </w:tc>
      </w:tr>
      <w:tr w:rsidR="00334C7C" w:rsidTr="00BC65A1">
        <w:tc>
          <w:tcPr>
            <w:tcW w:w="0" w:type="auto"/>
          </w:tcPr>
          <w:p w:rsidR="00334C7C" w:rsidRPr="000343D3" w:rsidRDefault="00334C7C" w:rsidP="00BC65A1">
            <w:pPr>
              <w:pStyle w:val="NoSpacing"/>
              <w:rPr>
                <w:b/>
              </w:rPr>
            </w:pPr>
            <w:r>
              <w:rPr>
                <w:b/>
              </w:rPr>
              <w:t>TOTAL</w:t>
            </w:r>
          </w:p>
        </w:tc>
        <w:tc>
          <w:tcPr>
            <w:tcW w:w="0" w:type="auto"/>
          </w:tcPr>
          <w:p w:rsidR="00334C7C" w:rsidRPr="008717DB" w:rsidRDefault="007A2F09" w:rsidP="00BC65A1">
            <w:pPr>
              <w:pStyle w:val="NoSpacing"/>
              <w:rPr>
                <w:b/>
              </w:rPr>
            </w:pPr>
            <w:r>
              <w:rPr>
                <w:b/>
              </w:rPr>
              <w:t>2,954,519</w:t>
            </w:r>
          </w:p>
        </w:tc>
        <w:tc>
          <w:tcPr>
            <w:tcW w:w="0" w:type="auto"/>
          </w:tcPr>
          <w:p w:rsidR="00334C7C" w:rsidRDefault="007A2F09" w:rsidP="00BC65A1">
            <w:pPr>
              <w:pStyle w:val="NoSpacing"/>
              <w:rPr>
                <w:b/>
              </w:rPr>
            </w:pPr>
            <w:r>
              <w:rPr>
                <w:b/>
              </w:rPr>
              <w:t>$55</w:t>
            </w:r>
            <w:r w:rsidR="00334C7C">
              <w:rPr>
                <w:b/>
              </w:rPr>
              <w:t>,000</w:t>
            </w:r>
          </w:p>
        </w:tc>
        <w:tc>
          <w:tcPr>
            <w:tcW w:w="0" w:type="auto"/>
          </w:tcPr>
          <w:p w:rsidR="00334C7C" w:rsidRDefault="007A2F09" w:rsidP="00BC65A1">
            <w:pPr>
              <w:pStyle w:val="NoSpacing"/>
              <w:rPr>
                <w:b/>
              </w:rPr>
            </w:pPr>
            <w:r>
              <w:rPr>
                <w:b/>
              </w:rPr>
              <w:t>$88,633</w:t>
            </w:r>
          </w:p>
        </w:tc>
        <w:tc>
          <w:tcPr>
            <w:tcW w:w="0" w:type="auto"/>
          </w:tcPr>
          <w:p w:rsidR="00334C7C" w:rsidRDefault="007A2F09" w:rsidP="00BC65A1">
            <w:pPr>
              <w:pStyle w:val="NoSpacing"/>
              <w:rPr>
                <w:b/>
              </w:rPr>
            </w:pPr>
            <w:r>
              <w:rPr>
                <w:b/>
              </w:rPr>
              <w:t>$10,6</w:t>
            </w:r>
            <w:r w:rsidR="00334C7C">
              <w:rPr>
                <w:b/>
              </w:rPr>
              <w:t>90</w:t>
            </w:r>
          </w:p>
        </w:tc>
        <w:tc>
          <w:tcPr>
            <w:tcW w:w="0" w:type="auto"/>
          </w:tcPr>
          <w:p w:rsidR="00334C7C" w:rsidRDefault="007A2F09" w:rsidP="00BC65A1">
            <w:pPr>
              <w:pStyle w:val="NoSpacing"/>
              <w:rPr>
                <w:b/>
              </w:rPr>
            </w:pPr>
            <w:r>
              <w:rPr>
                <w:b/>
              </w:rPr>
              <w:t>$154,323</w:t>
            </w:r>
          </w:p>
        </w:tc>
      </w:tr>
    </w:tbl>
    <w:p w:rsidR="00334C7C" w:rsidRDefault="00334C7C" w:rsidP="00334C7C">
      <w:pPr>
        <w:pStyle w:val="NoSpacing"/>
      </w:pPr>
    </w:p>
    <w:p w:rsidR="0006091E" w:rsidRDefault="0006091E" w:rsidP="00195CB5">
      <w:pPr>
        <w:pStyle w:val="NoSpacing"/>
        <w:rPr>
          <w:b/>
        </w:rPr>
      </w:pPr>
    </w:p>
    <w:p w:rsidR="00CA7BF5" w:rsidRPr="00195CB5" w:rsidRDefault="0058189D" w:rsidP="00195CB5">
      <w:pPr>
        <w:pStyle w:val="NoSpacing"/>
        <w:rPr>
          <w:b/>
        </w:rPr>
      </w:pPr>
      <w:r>
        <w:rPr>
          <w:b/>
        </w:rPr>
        <w:t xml:space="preserve">Payment </w:t>
      </w:r>
      <w:r w:rsidR="00CA7BF5" w:rsidRPr="00195CB5">
        <w:rPr>
          <w:b/>
        </w:rPr>
        <w:t>Terms</w:t>
      </w:r>
    </w:p>
    <w:p w:rsidR="00CA7BF5" w:rsidRDefault="003A6F08" w:rsidP="00CA7BF5">
      <w:pPr>
        <w:pStyle w:val="NoSpacing"/>
      </w:pPr>
      <w:r>
        <w:t>OCLC/</w:t>
      </w:r>
      <w:r w:rsidR="00CA7BF5">
        <w:t xml:space="preserve">SCS typically invoices large-scale group </w:t>
      </w:r>
      <w:r w:rsidR="0050226C">
        <w:t>projects as follows, though we are open to discussing alternatives.</w:t>
      </w:r>
    </w:p>
    <w:p w:rsidR="00CA7BF5" w:rsidRDefault="00CA7BF5" w:rsidP="00CA7BF5">
      <w:pPr>
        <w:pStyle w:val="NoSpacing"/>
      </w:pPr>
    </w:p>
    <w:p w:rsidR="00CA7BF5" w:rsidRDefault="00CA7BF5" w:rsidP="00195CB5">
      <w:pPr>
        <w:pStyle w:val="NoSpacing"/>
        <w:ind w:left="720"/>
      </w:pPr>
      <w:r>
        <w:t xml:space="preserve">25% </w:t>
      </w:r>
      <w:r w:rsidR="0050226C">
        <w:tab/>
      </w:r>
      <w:r>
        <w:t>Due at signing</w:t>
      </w:r>
    </w:p>
    <w:p w:rsidR="00CA7BF5" w:rsidRDefault="00CA7BF5" w:rsidP="00195CB5">
      <w:pPr>
        <w:pStyle w:val="NoSpacing"/>
        <w:ind w:left="720"/>
      </w:pPr>
      <w:r>
        <w:t xml:space="preserve">25% </w:t>
      </w:r>
      <w:r w:rsidR="0050226C">
        <w:tab/>
      </w:r>
      <w:r>
        <w:t>Due upon receipt of all data extracts</w:t>
      </w:r>
    </w:p>
    <w:p w:rsidR="00CA7BF5" w:rsidRDefault="00CA7BF5" w:rsidP="00195CB5">
      <w:pPr>
        <w:pStyle w:val="NoSpacing"/>
        <w:ind w:left="720"/>
      </w:pPr>
      <w:r>
        <w:t>25%</w:t>
      </w:r>
      <w:r w:rsidR="0050226C">
        <w:tab/>
        <w:t xml:space="preserve">Due </w:t>
      </w:r>
      <w:r w:rsidR="003A6F08">
        <w:t>upon production of MI-SPI group database</w:t>
      </w:r>
    </w:p>
    <w:p w:rsidR="0058189D" w:rsidRDefault="0050226C" w:rsidP="00195CB5">
      <w:pPr>
        <w:pStyle w:val="NoSpacing"/>
        <w:ind w:left="720"/>
      </w:pPr>
      <w:r>
        <w:t xml:space="preserve">25% </w:t>
      </w:r>
      <w:r>
        <w:tab/>
        <w:t>Due upon completion of allocation retention</w:t>
      </w:r>
    </w:p>
    <w:p w:rsidR="0058189D" w:rsidRDefault="0058189D" w:rsidP="0058189D">
      <w:pPr>
        <w:pStyle w:val="NoSpacing"/>
      </w:pPr>
    </w:p>
    <w:p w:rsidR="007A2F09" w:rsidRDefault="007A2F09" w:rsidP="00827478">
      <w:pPr>
        <w:pStyle w:val="NoSpacing"/>
        <w:rPr>
          <w:b/>
        </w:rPr>
      </w:pPr>
    </w:p>
    <w:p w:rsidR="00827478" w:rsidRDefault="00827478" w:rsidP="00827478">
      <w:pPr>
        <w:pStyle w:val="NoSpacing"/>
        <w:rPr>
          <w:b/>
        </w:rPr>
      </w:pPr>
      <w:r>
        <w:rPr>
          <w:b/>
        </w:rPr>
        <w:t>Legal Terms</w:t>
      </w:r>
    </w:p>
    <w:p w:rsidR="00827478" w:rsidRDefault="0006091E" w:rsidP="00827478">
      <w:pPr>
        <w:pStyle w:val="NoSpacing"/>
      </w:pPr>
      <w:r>
        <w:t>The data sets provided by MI-SPI</w:t>
      </w:r>
      <w:r w:rsidR="00827478">
        <w:t xml:space="preserve"> libraries will</w:t>
      </w:r>
      <w:r>
        <w:t xml:space="preserve"> remain the property of the MI-SPI</w:t>
      </w:r>
      <w:r w:rsidR="00827478">
        <w:t xml:space="preserve"> library providing such data set provided however that the data sets are licensed to OCLC solely for the purpose o</w:t>
      </w:r>
      <w:r>
        <w:t>f providing the services to MI-SPI</w:t>
      </w:r>
      <w:r w:rsidR="00827478">
        <w:t xml:space="preserve"> members described in this document.</w:t>
      </w:r>
    </w:p>
    <w:p w:rsidR="00827478" w:rsidRDefault="00827478" w:rsidP="00827478">
      <w:pPr>
        <w:pStyle w:val="NoSpacing"/>
      </w:pPr>
    </w:p>
    <w:p w:rsidR="00827478" w:rsidRDefault="00827478" w:rsidP="00827478">
      <w:pPr>
        <w:pStyle w:val="NoSpacing"/>
      </w:pPr>
      <w:r>
        <w:t>OCLC warrants that the services will be performed in a professional and workman-li</w:t>
      </w:r>
      <w:r w:rsidR="0006091E">
        <w:t>ke manner and both OCLC and MI-SPI</w:t>
      </w:r>
      <w:r>
        <w:t xml:space="preserve"> libraries warrant that this arrangement does not violate any other agreem</w:t>
      </w:r>
      <w:r w:rsidR="0006091E">
        <w:t>ent to which it is a party. MI-SPI</w:t>
      </w:r>
      <w:r>
        <w:t xml:space="preserve"> libraries warrant that it possess all rights necessary to enter into this arrangement and grant the rights described in this document such that OCLC will not infringe upon or otherwise violate any intellectual property rights or other rights of a third party or violate any laws by exercising the rights and licenses granted above. Except as provided above, the services are provided “AS IS” with no other warranties express or implied. THE LIABILITY OF BOTH PARTIES IS STRICTLY LIMITED SOLELY TO DIRECT DAMAGES ARISING UNDER THE EXPRESS TERMS OF THIS CONTRACT AND IN NO EVENT SHALL THE LIABILITY EXCEED THE AMOUNTS PAID UNDER THIS CONTRACT DURING THE 12 MONTH PRECEDING THE EVENT GIVING RISE TO THE CLAIM. </w:t>
      </w:r>
    </w:p>
    <w:p w:rsidR="00827478" w:rsidRDefault="00827478" w:rsidP="00827478">
      <w:pPr>
        <w:pStyle w:val="NoSpacing"/>
      </w:pPr>
    </w:p>
    <w:p w:rsidR="00827478" w:rsidRDefault="00827478" w:rsidP="00827478">
      <w:pPr>
        <w:pStyle w:val="NoSpacing"/>
      </w:pPr>
      <w:r>
        <w:t xml:space="preserve">Neither party shall be a partner, joint venture, employee, nor agent of the other, and neither party shall hold itself out as such. </w:t>
      </w:r>
    </w:p>
    <w:p w:rsidR="00827478" w:rsidRDefault="00827478" w:rsidP="00827478">
      <w:pPr>
        <w:pStyle w:val="NoSpacing"/>
      </w:pPr>
    </w:p>
    <w:p w:rsidR="00827478" w:rsidRDefault="00827478" w:rsidP="00827478">
      <w:pPr>
        <w:pStyle w:val="NoSpacing"/>
      </w:pPr>
      <w:r>
        <w:t xml:space="preserve">Failure or neglect by either party to enforce at any time any of the provisions hereof shall not be construed nor shall be deemed to be a waiver of that party’s rights hereunder nor in any way affect the validity of the whole or any part of this Agreement nor prejudice that party's rights to take subsequent action. Neither party shall be liable for any breach of its obligations resulting from causes beyond its reasonable control. </w:t>
      </w:r>
    </w:p>
    <w:p w:rsidR="00827478" w:rsidRDefault="00827478" w:rsidP="00827478">
      <w:pPr>
        <w:pStyle w:val="NoSpacing"/>
      </w:pPr>
    </w:p>
    <w:p w:rsidR="00827478" w:rsidRDefault="00827478" w:rsidP="00827478">
      <w:pPr>
        <w:pStyle w:val="NoSpacing"/>
      </w:pPr>
      <w:r>
        <w:t>This document comprises the entire agreement between the parties related to its subject matter to the exclusion of all other terms and conditions and prior or collateral agreements, negotiations, notices of intention and representations regarding such subject matter and no change to this document shall be valid unless evidenced by a written amendment signed by both parties. The provisions of this document are severable, and the invalidity or unenforceability of any provision does not affect or impair the remaining provisions, which continue in full force and effect. If any provision is held unlawful, there will be substituted a similar provision reflecting the original intent of the parties to the extent permissible by law. This document and the provisions hereof shall be construed in accordance with the laws of the State of New York without regard to its conflict of laws provisions.</w:t>
      </w:r>
    </w:p>
    <w:p w:rsidR="004A1052" w:rsidRDefault="004A1052">
      <w:pPr>
        <w:rPr>
          <w:noProof/>
        </w:rPr>
      </w:pPr>
      <w:r>
        <w:rPr>
          <w:noProof/>
        </w:rPr>
        <w:br w:type="page"/>
      </w:r>
    </w:p>
    <w:p w:rsidR="004A1052" w:rsidRPr="00AF46DD" w:rsidRDefault="004A1052" w:rsidP="004A1052">
      <w:pPr>
        <w:pStyle w:val="Footer"/>
        <w:ind w:left="90"/>
        <w:jc w:val="right"/>
        <w:rPr>
          <w:rFonts w:ascii="Times New Roman" w:hAnsi="Times New Roman"/>
          <w:b/>
        </w:rPr>
      </w:pPr>
      <w:r w:rsidRPr="00AF46DD">
        <w:rPr>
          <w:rFonts w:ascii="Times New Roman" w:hAnsi="Times New Roman"/>
          <w:noProof/>
        </w:rPr>
        <w:drawing>
          <wp:anchor distT="0" distB="0" distL="114300" distR="114300" simplePos="0" relativeHeight="251659264" behindDoc="1" locked="0" layoutInCell="1" allowOverlap="1" wp14:anchorId="3FC57158" wp14:editId="149A02A8">
            <wp:simplePos x="0" y="0"/>
            <wp:positionH relativeFrom="column">
              <wp:posOffset>-152401</wp:posOffset>
            </wp:positionH>
            <wp:positionV relativeFrom="page">
              <wp:posOffset>-19050</wp:posOffset>
            </wp:positionV>
            <wp:extent cx="2943225" cy="1000125"/>
            <wp:effectExtent l="19050" t="0" r="9525"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9" cstate="print"/>
                    <a:stretch>
                      <a:fillRect/>
                    </a:stretch>
                  </pic:blipFill>
                  <pic:spPr bwMode="auto">
                    <a:xfrm>
                      <a:off x="0" y="0"/>
                      <a:ext cx="2947287" cy="1001505"/>
                    </a:xfrm>
                    <a:prstGeom prst="rect">
                      <a:avLst/>
                    </a:prstGeom>
                    <a:noFill/>
                    <a:ln w="9525">
                      <a:noFill/>
                      <a:miter lim="800000"/>
                      <a:headEnd/>
                      <a:tailEnd/>
                    </a:ln>
                  </pic:spPr>
                </pic:pic>
              </a:graphicData>
            </a:graphic>
          </wp:anchor>
        </w:drawing>
      </w:r>
      <w:r>
        <w:rPr>
          <w:rFonts w:ascii="Times New Roman" w:hAnsi="Times New Roman"/>
          <w:b/>
        </w:rPr>
        <w:t>Sustainable Collection Services Proposal</w:t>
      </w:r>
    </w:p>
    <w:p w:rsidR="004A1052" w:rsidRPr="00AF46DD" w:rsidRDefault="004A1052" w:rsidP="004A1052">
      <w:pPr>
        <w:tabs>
          <w:tab w:val="right" w:pos="10800"/>
        </w:tabs>
        <w:ind w:left="90"/>
        <w:jc w:val="right"/>
        <w:rPr>
          <w:rFonts w:ascii="Times New Roman" w:hAnsi="Times New Roman"/>
          <w:b/>
          <w:sz w:val="19"/>
        </w:rPr>
      </w:pPr>
      <w:r w:rsidRPr="00AF46DD">
        <w:rPr>
          <w:rFonts w:ascii="Times New Roman" w:hAnsi="Times New Roman"/>
          <w:b/>
          <w:sz w:val="19"/>
        </w:rPr>
        <w:t>Please print or type</w:t>
      </w:r>
    </w:p>
    <w:tbl>
      <w:tblPr>
        <w:tblW w:w="10620" w:type="dxa"/>
        <w:tblInd w:w="-252" w:type="dxa"/>
        <w:tblBorders>
          <w:insideH w:val="single" w:sz="6" w:space="0" w:color="auto"/>
          <w:insideV w:val="single" w:sz="6" w:space="0" w:color="auto"/>
        </w:tblBorders>
        <w:tblLayout w:type="fixed"/>
        <w:tblLook w:val="0000" w:firstRow="0" w:lastRow="0" w:firstColumn="0" w:lastColumn="0" w:noHBand="0" w:noVBand="0"/>
      </w:tblPr>
      <w:tblGrid>
        <w:gridCol w:w="2700"/>
        <w:gridCol w:w="2520"/>
        <w:gridCol w:w="2638"/>
        <w:gridCol w:w="90"/>
        <w:gridCol w:w="2672"/>
      </w:tblGrid>
      <w:tr w:rsidR="004A1052" w:rsidRPr="00AF46DD" w:rsidTr="00AA6E15">
        <w:tc>
          <w:tcPr>
            <w:tcW w:w="10620" w:type="dxa"/>
            <w:gridSpan w:val="5"/>
            <w:tcBorders>
              <w:top w:val="single" w:sz="6" w:space="0" w:color="auto"/>
              <w:left w:val="single" w:sz="6" w:space="0" w:color="auto"/>
              <w:bottom w:val="single" w:sz="6" w:space="0" w:color="auto"/>
              <w:right w:val="single" w:sz="6" w:space="0" w:color="auto"/>
            </w:tcBorders>
          </w:tcPr>
          <w:p w:rsidR="004A1052" w:rsidRPr="00AF46DD" w:rsidRDefault="004A1052" w:rsidP="00AA6E15">
            <w:pPr>
              <w:tabs>
                <w:tab w:val="left" w:pos="540"/>
                <w:tab w:val="left" w:pos="1440"/>
                <w:tab w:val="right" w:pos="10710"/>
              </w:tabs>
              <w:ind w:right="3600"/>
              <w:jc w:val="both"/>
              <w:rPr>
                <w:rFonts w:ascii="Times New Roman" w:hAnsi="Times New Roman"/>
                <w:sz w:val="18"/>
                <w:szCs w:val="18"/>
              </w:rPr>
            </w:pPr>
            <w:r w:rsidRPr="00AF46DD">
              <w:rPr>
                <w:rFonts w:ascii="Times New Roman" w:hAnsi="Times New Roman"/>
                <w:sz w:val="18"/>
                <w:szCs w:val="18"/>
              </w:rPr>
              <w:t>INSTITUTION NAME ("</w:t>
            </w:r>
            <w:r w:rsidRPr="00486E52">
              <w:rPr>
                <w:rFonts w:ascii="Times New Roman" w:hAnsi="Times New Roman"/>
                <w:sz w:val="18"/>
                <w:szCs w:val="18"/>
                <w:u w:val="single"/>
              </w:rPr>
              <w:t>Institution</w:t>
            </w:r>
            <w:r w:rsidRPr="00AF46DD">
              <w:rPr>
                <w:rFonts w:ascii="Times New Roman" w:hAnsi="Times New Roman"/>
                <w:sz w:val="18"/>
                <w:szCs w:val="18"/>
              </w:rPr>
              <w:t>")</w:t>
            </w:r>
          </w:p>
          <w:p w:rsidR="004A1052" w:rsidRPr="00AF46DD" w:rsidRDefault="004A1052" w:rsidP="00AA6E15">
            <w:pPr>
              <w:tabs>
                <w:tab w:val="left" w:pos="540"/>
                <w:tab w:val="left" w:pos="1440"/>
                <w:tab w:val="right" w:pos="10710"/>
              </w:tabs>
              <w:spacing w:before="120"/>
              <w:ind w:left="360" w:right="72"/>
              <w:jc w:val="both"/>
              <w:rPr>
                <w:rFonts w:ascii="Times New Roman" w:hAnsi="Times New Roman"/>
                <w:sz w:val="18"/>
                <w:szCs w:val="18"/>
              </w:rPr>
            </w:pPr>
            <w:r>
              <w:rPr>
                <w:rFonts w:ascii="Times New Roman" w:hAnsi="Times New Roman"/>
                <w:sz w:val="18"/>
                <w:szCs w:val="18"/>
              </w:rPr>
              <w:t>Michigan Shared Print Initiative (MI-SPI)/Midwest Collaborative for Library Services (MCLS)</w:t>
            </w:r>
          </w:p>
        </w:tc>
      </w:tr>
      <w:tr w:rsidR="004A1052" w:rsidRPr="00AF46DD" w:rsidTr="00AA6E15">
        <w:tc>
          <w:tcPr>
            <w:tcW w:w="7948" w:type="dxa"/>
            <w:gridSpan w:val="4"/>
            <w:tcBorders>
              <w:top w:val="single" w:sz="6" w:space="0" w:color="auto"/>
              <w:left w:val="single" w:sz="6" w:space="0" w:color="auto"/>
              <w:bottom w:val="single" w:sz="6" w:space="0" w:color="auto"/>
              <w:right w:val="single" w:sz="6" w:space="0" w:color="auto"/>
            </w:tcBorders>
          </w:tcPr>
          <w:p w:rsidR="004A1052" w:rsidRPr="00AF46DD" w:rsidRDefault="004A1052" w:rsidP="00AA6E15">
            <w:pPr>
              <w:tabs>
                <w:tab w:val="left" w:pos="540"/>
                <w:tab w:val="left" w:pos="1440"/>
                <w:tab w:val="right" w:pos="10710"/>
              </w:tabs>
              <w:jc w:val="both"/>
              <w:rPr>
                <w:rFonts w:ascii="Times New Roman" w:hAnsi="Times New Roman"/>
                <w:sz w:val="18"/>
                <w:szCs w:val="18"/>
              </w:rPr>
            </w:pPr>
            <w:r w:rsidRPr="00AF46DD">
              <w:rPr>
                <w:rFonts w:ascii="Times New Roman" w:hAnsi="Times New Roman"/>
                <w:sz w:val="18"/>
                <w:szCs w:val="18"/>
              </w:rPr>
              <w:t>LIBRARY NAME (if different from Institution Name)</w:t>
            </w:r>
          </w:p>
          <w:p w:rsidR="004A1052" w:rsidRPr="00AF46DD" w:rsidRDefault="004A1052" w:rsidP="00AA6E15">
            <w:pPr>
              <w:tabs>
                <w:tab w:val="left" w:pos="540"/>
                <w:tab w:val="left" w:pos="1440"/>
                <w:tab w:val="right" w:pos="10710"/>
              </w:tabs>
              <w:spacing w:before="120"/>
              <w:ind w:left="360" w:right="3600"/>
              <w:jc w:val="both"/>
              <w:rPr>
                <w:rFonts w:ascii="Times New Roman" w:hAnsi="Times New Roman"/>
                <w:sz w:val="18"/>
                <w:szCs w:val="18"/>
              </w:rPr>
            </w:pPr>
            <w:r>
              <w:rPr>
                <w:rFonts w:ascii="Times New Roman" w:hAnsi="Times New Roman"/>
                <w:sz w:val="18"/>
                <w:szCs w:val="18"/>
              </w:rPr>
              <w:t>Central Michigan, Ferris State, Grand Valley State, Univ of Michigan/Deaborn, Michigan Technological University, Northern Michigan, Oakland, Saginaw State, Wayne State</w:t>
            </w:r>
          </w:p>
        </w:tc>
        <w:tc>
          <w:tcPr>
            <w:tcW w:w="2672" w:type="dxa"/>
            <w:tcBorders>
              <w:top w:val="single" w:sz="6" w:space="0" w:color="auto"/>
              <w:left w:val="single" w:sz="6" w:space="0" w:color="auto"/>
              <w:bottom w:val="single" w:sz="6" w:space="0" w:color="auto"/>
              <w:right w:val="single" w:sz="6" w:space="0" w:color="auto"/>
            </w:tcBorders>
          </w:tcPr>
          <w:p w:rsidR="004A1052" w:rsidRPr="00AF46DD" w:rsidRDefault="004A1052" w:rsidP="00AA6E15">
            <w:pPr>
              <w:tabs>
                <w:tab w:val="left" w:pos="540"/>
                <w:tab w:val="left" w:pos="1440"/>
                <w:tab w:val="right" w:pos="10710"/>
              </w:tabs>
              <w:ind w:right="72"/>
              <w:rPr>
                <w:rFonts w:ascii="Times New Roman" w:hAnsi="Times New Roman"/>
                <w:sz w:val="18"/>
                <w:szCs w:val="18"/>
              </w:rPr>
            </w:pPr>
            <w:r w:rsidRPr="00AF46DD">
              <w:rPr>
                <w:rFonts w:ascii="Times New Roman" w:hAnsi="Times New Roman"/>
                <w:sz w:val="18"/>
                <w:szCs w:val="18"/>
              </w:rPr>
              <w:t>OCLC HOLDINGS SYMBOL (if any)</w:t>
            </w:r>
          </w:p>
          <w:p w:rsidR="004A1052" w:rsidRPr="00AF46DD" w:rsidRDefault="004A1052" w:rsidP="00AA6E15">
            <w:pPr>
              <w:tabs>
                <w:tab w:val="left" w:pos="540"/>
                <w:tab w:val="left" w:pos="1440"/>
                <w:tab w:val="right" w:pos="10710"/>
              </w:tabs>
              <w:ind w:left="342" w:right="72"/>
              <w:jc w:val="center"/>
              <w:rPr>
                <w:rFonts w:ascii="Times New Roman" w:hAnsi="Times New Roman"/>
                <w:sz w:val="18"/>
                <w:szCs w:val="18"/>
              </w:rPr>
            </w:pPr>
            <w:r w:rsidRPr="00AF46DD">
              <w:rPr>
                <w:rFonts w:ascii="Times New Roman" w:hAnsi="Times New Roman"/>
                <w:sz w:val="18"/>
                <w:szCs w:val="18"/>
              </w:rPr>
              <w:fldChar w:fldCharType="begin">
                <w:ffData>
                  <w:name w:val="Text40"/>
                  <w:enabled/>
                  <w:calcOnExit w:val="0"/>
                  <w:textInput/>
                </w:ffData>
              </w:fldChar>
            </w:r>
            <w:bookmarkStart w:id="1" w:name="Text40"/>
            <w:r w:rsidRPr="00AF46DD">
              <w:rPr>
                <w:rFonts w:ascii="Times New Roman" w:hAnsi="Times New Roman"/>
                <w:sz w:val="18"/>
                <w:szCs w:val="18"/>
              </w:rPr>
              <w:instrText xml:space="preserve"> FORMTEXT </w:instrText>
            </w:r>
            <w:r w:rsidRPr="00AF46DD">
              <w:rPr>
                <w:rFonts w:ascii="Times New Roman" w:hAnsi="Times New Roman"/>
                <w:sz w:val="18"/>
                <w:szCs w:val="18"/>
              </w:rPr>
            </w:r>
            <w:r w:rsidRPr="00AF46DD">
              <w:rPr>
                <w:rFonts w:ascii="Times New Roman" w:hAnsi="Times New Roman"/>
                <w:sz w:val="18"/>
                <w:szCs w:val="18"/>
              </w:rPr>
              <w:fldChar w:fldCharType="separate"/>
            </w:r>
            <w:r w:rsidRPr="00AF46DD">
              <w:rPr>
                <w:rFonts w:ascii="Times New Roman" w:hAnsi="Times New Roman"/>
                <w:noProof/>
                <w:sz w:val="18"/>
                <w:szCs w:val="18"/>
              </w:rPr>
              <w:t> </w:t>
            </w:r>
            <w:r w:rsidRPr="00AF46DD">
              <w:rPr>
                <w:rFonts w:ascii="Times New Roman" w:hAnsi="Times New Roman"/>
                <w:noProof/>
                <w:sz w:val="18"/>
                <w:szCs w:val="18"/>
              </w:rPr>
              <w:t> </w:t>
            </w:r>
            <w:r w:rsidRPr="00AF46DD">
              <w:rPr>
                <w:rFonts w:ascii="Times New Roman" w:hAnsi="Times New Roman"/>
                <w:noProof/>
                <w:sz w:val="18"/>
                <w:szCs w:val="18"/>
              </w:rPr>
              <w:t> </w:t>
            </w:r>
            <w:r w:rsidRPr="00AF46DD">
              <w:rPr>
                <w:rFonts w:ascii="Times New Roman" w:hAnsi="Times New Roman"/>
                <w:noProof/>
                <w:sz w:val="18"/>
                <w:szCs w:val="18"/>
              </w:rPr>
              <w:t> </w:t>
            </w:r>
            <w:r w:rsidRPr="00AF46DD">
              <w:rPr>
                <w:rFonts w:ascii="Times New Roman" w:hAnsi="Times New Roman"/>
                <w:noProof/>
                <w:sz w:val="18"/>
                <w:szCs w:val="18"/>
              </w:rPr>
              <w:t> </w:t>
            </w:r>
            <w:r w:rsidRPr="00AF46DD">
              <w:rPr>
                <w:rFonts w:ascii="Times New Roman" w:hAnsi="Times New Roman"/>
                <w:sz w:val="18"/>
                <w:szCs w:val="18"/>
              </w:rPr>
              <w:fldChar w:fldCharType="end"/>
            </w:r>
            <w:bookmarkEnd w:id="1"/>
          </w:p>
        </w:tc>
      </w:tr>
      <w:tr w:rsidR="004A1052" w:rsidRPr="00AF46DD" w:rsidTr="00AA6E15">
        <w:tc>
          <w:tcPr>
            <w:tcW w:w="10620" w:type="dxa"/>
            <w:gridSpan w:val="5"/>
            <w:tcBorders>
              <w:top w:val="single" w:sz="6" w:space="0" w:color="auto"/>
              <w:left w:val="single" w:sz="6" w:space="0" w:color="auto"/>
              <w:bottom w:val="single" w:sz="6" w:space="0" w:color="auto"/>
              <w:right w:val="single" w:sz="6" w:space="0" w:color="auto"/>
            </w:tcBorders>
          </w:tcPr>
          <w:p w:rsidR="004A1052" w:rsidRPr="00AF46DD" w:rsidRDefault="004A1052" w:rsidP="00AA6E15">
            <w:pPr>
              <w:tabs>
                <w:tab w:val="left" w:pos="540"/>
                <w:tab w:val="left" w:pos="1440"/>
                <w:tab w:val="right" w:pos="10710"/>
              </w:tabs>
              <w:ind w:right="3600"/>
              <w:jc w:val="both"/>
              <w:rPr>
                <w:rFonts w:ascii="Times New Roman" w:hAnsi="Times New Roman"/>
                <w:sz w:val="18"/>
                <w:szCs w:val="18"/>
              </w:rPr>
            </w:pPr>
            <w:r w:rsidRPr="00AF46DD">
              <w:rPr>
                <w:rFonts w:ascii="Times New Roman" w:hAnsi="Times New Roman"/>
                <w:sz w:val="18"/>
                <w:szCs w:val="18"/>
              </w:rPr>
              <w:t>STREET ADDRESS</w:t>
            </w:r>
          </w:p>
          <w:bookmarkStart w:id="2" w:name="Text60"/>
          <w:p w:rsidR="004A1052" w:rsidRPr="00AF46DD" w:rsidRDefault="004A1052" w:rsidP="00AA6E15">
            <w:pPr>
              <w:tabs>
                <w:tab w:val="left" w:pos="540"/>
                <w:tab w:val="left" w:pos="1440"/>
                <w:tab w:val="right" w:pos="10710"/>
              </w:tabs>
              <w:spacing w:before="120"/>
              <w:ind w:left="360" w:right="3600"/>
              <w:jc w:val="both"/>
              <w:rPr>
                <w:rFonts w:ascii="Times New Roman" w:hAnsi="Times New Roman"/>
                <w:sz w:val="18"/>
                <w:szCs w:val="18"/>
              </w:rPr>
            </w:pPr>
            <w:r w:rsidRPr="00AF46DD">
              <w:rPr>
                <w:rFonts w:ascii="Times New Roman" w:hAnsi="Times New Roman"/>
                <w:sz w:val="18"/>
                <w:szCs w:val="18"/>
              </w:rPr>
              <w:fldChar w:fldCharType="begin">
                <w:ffData>
                  <w:name w:val="Text60"/>
                  <w:enabled/>
                  <w:calcOnExit w:val="0"/>
                  <w:textInput/>
                </w:ffData>
              </w:fldChar>
            </w:r>
            <w:r w:rsidRPr="00AF46DD">
              <w:rPr>
                <w:rFonts w:ascii="Times New Roman" w:hAnsi="Times New Roman"/>
                <w:sz w:val="18"/>
                <w:szCs w:val="18"/>
              </w:rPr>
              <w:instrText xml:space="preserve"> FORMTEXT </w:instrText>
            </w:r>
            <w:r w:rsidRPr="00AF46DD">
              <w:rPr>
                <w:rFonts w:ascii="Times New Roman" w:hAnsi="Times New Roman"/>
                <w:sz w:val="18"/>
                <w:szCs w:val="18"/>
              </w:rPr>
            </w:r>
            <w:r w:rsidRPr="00AF46DD">
              <w:rPr>
                <w:rFonts w:ascii="Times New Roman" w:hAnsi="Times New Roman"/>
                <w:sz w:val="18"/>
                <w:szCs w:val="18"/>
              </w:rPr>
              <w:fldChar w:fldCharType="separate"/>
            </w:r>
            <w:r w:rsidRPr="00AF46DD">
              <w:rPr>
                <w:rFonts w:ascii="Times New Roman" w:hAnsi="Times New Roman"/>
                <w:noProof/>
                <w:sz w:val="18"/>
                <w:szCs w:val="18"/>
              </w:rPr>
              <w:t> </w:t>
            </w:r>
            <w:r w:rsidRPr="00AF46DD">
              <w:rPr>
                <w:rFonts w:ascii="Times New Roman" w:hAnsi="Times New Roman"/>
                <w:noProof/>
                <w:sz w:val="18"/>
                <w:szCs w:val="18"/>
              </w:rPr>
              <w:t> </w:t>
            </w:r>
            <w:r w:rsidRPr="00AF46DD">
              <w:rPr>
                <w:rFonts w:ascii="Times New Roman" w:hAnsi="Times New Roman"/>
                <w:noProof/>
                <w:sz w:val="18"/>
                <w:szCs w:val="18"/>
              </w:rPr>
              <w:t> </w:t>
            </w:r>
            <w:r w:rsidRPr="00AF46DD">
              <w:rPr>
                <w:rFonts w:ascii="Times New Roman" w:hAnsi="Times New Roman"/>
                <w:noProof/>
                <w:sz w:val="18"/>
                <w:szCs w:val="18"/>
              </w:rPr>
              <w:t> </w:t>
            </w:r>
            <w:r w:rsidRPr="00AF46DD">
              <w:rPr>
                <w:rFonts w:ascii="Times New Roman" w:hAnsi="Times New Roman"/>
                <w:noProof/>
                <w:sz w:val="18"/>
                <w:szCs w:val="18"/>
              </w:rPr>
              <w:t> </w:t>
            </w:r>
            <w:r w:rsidRPr="00AF46DD">
              <w:rPr>
                <w:rFonts w:ascii="Times New Roman" w:hAnsi="Times New Roman"/>
                <w:sz w:val="18"/>
                <w:szCs w:val="18"/>
              </w:rPr>
              <w:fldChar w:fldCharType="end"/>
            </w:r>
            <w:bookmarkEnd w:id="2"/>
          </w:p>
        </w:tc>
      </w:tr>
      <w:tr w:rsidR="004A1052" w:rsidRPr="00AF46DD" w:rsidTr="00AA6E15">
        <w:tc>
          <w:tcPr>
            <w:tcW w:w="2700" w:type="dxa"/>
            <w:tcBorders>
              <w:top w:val="single" w:sz="6" w:space="0" w:color="auto"/>
              <w:left w:val="single" w:sz="6" w:space="0" w:color="auto"/>
              <w:bottom w:val="single" w:sz="6" w:space="0" w:color="auto"/>
            </w:tcBorders>
          </w:tcPr>
          <w:p w:rsidR="004A1052" w:rsidRPr="00AF46DD" w:rsidRDefault="004A1052" w:rsidP="00AA6E15">
            <w:pPr>
              <w:tabs>
                <w:tab w:val="left" w:pos="540"/>
                <w:tab w:val="right" w:pos="10710"/>
              </w:tabs>
              <w:ind w:right="74"/>
              <w:jc w:val="both"/>
              <w:rPr>
                <w:rFonts w:ascii="Times New Roman" w:hAnsi="Times New Roman"/>
                <w:sz w:val="18"/>
                <w:szCs w:val="18"/>
              </w:rPr>
            </w:pPr>
            <w:r w:rsidRPr="00AF46DD">
              <w:rPr>
                <w:rFonts w:ascii="Times New Roman" w:hAnsi="Times New Roman"/>
                <w:sz w:val="18"/>
                <w:szCs w:val="18"/>
              </w:rPr>
              <w:t>CITY</w:t>
            </w:r>
          </w:p>
          <w:bookmarkStart w:id="3" w:name="Text61"/>
          <w:p w:rsidR="004A1052" w:rsidRPr="00AF46DD" w:rsidRDefault="004A1052" w:rsidP="00AA6E15">
            <w:pPr>
              <w:tabs>
                <w:tab w:val="left" w:pos="540"/>
                <w:tab w:val="left" w:pos="1440"/>
                <w:tab w:val="right" w:pos="10710"/>
              </w:tabs>
              <w:spacing w:before="120"/>
              <w:ind w:left="360"/>
              <w:jc w:val="both"/>
              <w:rPr>
                <w:rFonts w:ascii="Times New Roman" w:hAnsi="Times New Roman"/>
                <w:sz w:val="18"/>
                <w:szCs w:val="18"/>
              </w:rPr>
            </w:pPr>
            <w:r w:rsidRPr="00AF46DD">
              <w:rPr>
                <w:rFonts w:ascii="Times New Roman" w:hAnsi="Times New Roman"/>
                <w:sz w:val="18"/>
                <w:szCs w:val="18"/>
              </w:rPr>
              <w:fldChar w:fldCharType="begin">
                <w:ffData>
                  <w:name w:val="Text61"/>
                  <w:enabled/>
                  <w:calcOnExit w:val="0"/>
                  <w:textInput/>
                </w:ffData>
              </w:fldChar>
            </w:r>
            <w:r w:rsidRPr="00AF46DD">
              <w:rPr>
                <w:rFonts w:ascii="Times New Roman" w:hAnsi="Times New Roman"/>
                <w:sz w:val="18"/>
                <w:szCs w:val="18"/>
              </w:rPr>
              <w:instrText xml:space="preserve"> FORMTEXT </w:instrText>
            </w:r>
            <w:r w:rsidRPr="00AF46DD">
              <w:rPr>
                <w:rFonts w:ascii="Times New Roman" w:hAnsi="Times New Roman"/>
                <w:sz w:val="18"/>
                <w:szCs w:val="18"/>
              </w:rPr>
            </w:r>
            <w:r w:rsidRPr="00AF46DD">
              <w:rPr>
                <w:rFonts w:ascii="Times New Roman" w:hAnsi="Times New Roman"/>
                <w:sz w:val="18"/>
                <w:szCs w:val="18"/>
              </w:rPr>
              <w:fldChar w:fldCharType="separate"/>
            </w:r>
            <w:r w:rsidRPr="00AF46DD">
              <w:rPr>
                <w:rFonts w:ascii="Times New Roman" w:hAnsi="Times New Roman"/>
                <w:noProof/>
                <w:sz w:val="18"/>
                <w:szCs w:val="18"/>
              </w:rPr>
              <w:t> </w:t>
            </w:r>
            <w:r w:rsidRPr="00AF46DD">
              <w:rPr>
                <w:rFonts w:ascii="Times New Roman" w:hAnsi="Times New Roman"/>
                <w:noProof/>
                <w:sz w:val="18"/>
                <w:szCs w:val="18"/>
              </w:rPr>
              <w:t> </w:t>
            </w:r>
            <w:r w:rsidRPr="00AF46DD">
              <w:rPr>
                <w:rFonts w:ascii="Times New Roman" w:hAnsi="Times New Roman"/>
                <w:noProof/>
                <w:sz w:val="18"/>
                <w:szCs w:val="18"/>
              </w:rPr>
              <w:t> </w:t>
            </w:r>
            <w:r w:rsidRPr="00AF46DD">
              <w:rPr>
                <w:rFonts w:ascii="Times New Roman" w:hAnsi="Times New Roman"/>
                <w:noProof/>
                <w:sz w:val="18"/>
                <w:szCs w:val="18"/>
              </w:rPr>
              <w:t> </w:t>
            </w:r>
            <w:r w:rsidRPr="00AF46DD">
              <w:rPr>
                <w:rFonts w:ascii="Times New Roman" w:hAnsi="Times New Roman"/>
                <w:noProof/>
                <w:sz w:val="18"/>
                <w:szCs w:val="18"/>
              </w:rPr>
              <w:t> </w:t>
            </w:r>
            <w:r w:rsidRPr="00AF46DD">
              <w:rPr>
                <w:rFonts w:ascii="Times New Roman" w:hAnsi="Times New Roman"/>
                <w:sz w:val="18"/>
                <w:szCs w:val="18"/>
              </w:rPr>
              <w:fldChar w:fldCharType="end"/>
            </w:r>
            <w:bookmarkEnd w:id="3"/>
          </w:p>
        </w:tc>
        <w:tc>
          <w:tcPr>
            <w:tcW w:w="2520" w:type="dxa"/>
            <w:tcBorders>
              <w:top w:val="single" w:sz="6" w:space="0" w:color="auto"/>
              <w:bottom w:val="single" w:sz="6" w:space="0" w:color="auto"/>
            </w:tcBorders>
          </w:tcPr>
          <w:p w:rsidR="004A1052" w:rsidRPr="00AF46DD" w:rsidRDefault="004A1052" w:rsidP="00AA6E15">
            <w:pPr>
              <w:tabs>
                <w:tab w:val="left" w:pos="540"/>
              </w:tabs>
              <w:jc w:val="both"/>
              <w:rPr>
                <w:rFonts w:ascii="Times New Roman" w:hAnsi="Times New Roman"/>
                <w:sz w:val="18"/>
                <w:szCs w:val="18"/>
              </w:rPr>
            </w:pPr>
            <w:r w:rsidRPr="00AF46DD">
              <w:rPr>
                <w:rFonts w:ascii="Times New Roman" w:hAnsi="Times New Roman"/>
                <w:sz w:val="18"/>
                <w:szCs w:val="18"/>
              </w:rPr>
              <w:t>STATE</w:t>
            </w:r>
          </w:p>
          <w:bookmarkStart w:id="4" w:name="Text62"/>
          <w:p w:rsidR="004A1052" w:rsidRPr="00AF46DD" w:rsidRDefault="004A1052" w:rsidP="00AA6E15">
            <w:pPr>
              <w:tabs>
                <w:tab w:val="left" w:pos="540"/>
                <w:tab w:val="right" w:pos="10710"/>
              </w:tabs>
              <w:spacing w:before="120"/>
              <w:ind w:left="342" w:right="72"/>
              <w:jc w:val="both"/>
              <w:rPr>
                <w:rFonts w:ascii="Times New Roman" w:hAnsi="Times New Roman"/>
                <w:sz w:val="18"/>
                <w:szCs w:val="18"/>
              </w:rPr>
            </w:pPr>
            <w:r w:rsidRPr="00AF46DD">
              <w:rPr>
                <w:rFonts w:ascii="Times New Roman" w:hAnsi="Times New Roman"/>
                <w:sz w:val="18"/>
                <w:szCs w:val="18"/>
              </w:rPr>
              <w:fldChar w:fldCharType="begin">
                <w:ffData>
                  <w:name w:val="Text62"/>
                  <w:enabled/>
                  <w:calcOnExit w:val="0"/>
                  <w:textInput/>
                </w:ffData>
              </w:fldChar>
            </w:r>
            <w:r w:rsidRPr="00AF46DD">
              <w:rPr>
                <w:rFonts w:ascii="Times New Roman" w:hAnsi="Times New Roman"/>
                <w:sz w:val="18"/>
                <w:szCs w:val="18"/>
              </w:rPr>
              <w:instrText xml:space="preserve"> FORMTEXT </w:instrText>
            </w:r>
            <w:r w:rsidRPr="00AF46DD">
              <w:rPr>
                <w:rFonts w:ascii="Times New Roman" w:hAnsi="Times New Roman"/>
                <w:sz w:val="18"/>
                <w:szCs w:val="18"/>
              </w:rPr>
            </w:r>
            <w:r w:rsidRPr="00AF46DD">
              <w:rPr>
                <w:rFonts w:ascii="Times New Roman" w:hAnsi="Times New Roman"/>
                <w:sz w:val="18"/>
                <w:szCs w:val="18"/>
              </w:rPr>
              <w:fldChar w:fldCharType="separate"/>
            </w:r>
            <w:r w:rsidRPr="00AF46DD">
              <w:rPr>
                <w:rFonts w:ascii="Times New Roman" w:hAnsi="Times New Roman"/>
                <w:noProof/>
                <w:sz w:val="18"/>
                <w:szCs w:val="18"/>
              </w:rPr>
              <w:t> </w:t>
            </w:r>
            <w:r w:rsidRPr="00AF46DD">
              <w:rPr>
                <w:rFonts w:ascii="Times New Roman" w:hAnsi="Times New Roman"/>
                <w:noProof/>
                <w:sz w:val="18"/>
                <w:szCs w:val="18"/>
              </w:rPr>
              <w:t> </w:t>
            </w:r>
            <w:r w:rsidRPr="00AF46DD">
              <w:rPr>
                <w:rFonts w:ascii="Times New Roman" w:hAnsi="Times New Roman"/>
                <w:noProof/>
                <w:sz w:val="18"/>
                <w:szCs w:val="18"/>
              </w:rPr>
              <w:t> </w:t>
            </w:r>
            <w:r w:rsidRPr="00AF46DD">
              <w:rPr>
                <w:rFonts w:ascii="Times New Roman" w:hAnsi="Times New Roman"/>
                <w:noProof/>
                <w:sz w:val="18"/>
                <w:szCs w:val="18"/>
              </w:rPr>
              <w:t> </w:t>
            </w:r>
            <w:r w:rsidRPr="00AF46DD">
              <w:rPr>
                <w:rFonts w:ascii="Times New Roman" w:hAnsi="Times New Roman"/>
                <w:noProof/>
                <w:sz w:val="18"/>
                <w:szCs w:val="18"/>
              </w:rPr>
              <w:t> </w:t>
            </w:r>
            <w:r w:rsidRPr="00AF46DD">
              <w:rPr>
                <w:rFonts w:ascii="Times New Roman" w:hAnsi="Times New Roman"/>
                <w:sz w:val="18"/>
                <w:szCs w:val="18"/>
              </w:rPr>
              <w:fldChar w:fldCharType="end"/>
            </w:r>
            <w:bookmarkEnd w:id="4"/>
          </w:p>
        </w:tc>
        <w:tc>
          <w:tcPr>
            <w:tcW w:w="2638" w:type="dxa"/>
            <w:tcBorders>
              <w:top w:val="single" w:sz="6" w:space="0" w:color="auto"/>
              <w:bottom w:val="single" w:sz="6" w:space="0" w:color="auto"/>
            </w:tcBorders>
          </w:tcPr>
          <w:p w:rsidR="004A1052" w:rsidRPr="00AF46DD" w:rsidRDefault="004A1052" w:rsidP="00AA6E15">
            <w:pPr>
              <w:tabs>
                <w:tab w:val="left" w:pos="540"/>
                <w:tab w:val="right" w:pos="10710"/>
              </w:tabs>
              <w:ind w:right="74"/>
              <w:jc w:val="both"/>
              <w:rPr>
                <w:rFonts w:ascii="Times New Roman" w:hAnsi="Times New Roman"/>
                <w:sz w:val="18"/>
                <w:szCs w:val="18"/>
              </w:rPr>
            </w:pPr>
            <w:r w:rsidRPr="00AF46DD">
              <w:rPr>
                <w:rFonts w:ascii="Times New Roman" w:hAnsi="Times New Roman"/>
                <w:sz w:val="18"/>
                <w:szCs w:val="18"/>
              </w:rPr>
              <w:t>ZIP/POSTAL CODE</w:t>
            </w:r>
          </w:p>
          <w:bookmarkStart w:id="5" w:name="Text63"/>
          <w:p w:rsidR="004A1052" w:rsidRPr="00AF46DD" w:rsidRDefault="004A1052" w:rsidP="00AA6E15">
            <w:pPr>
              <w:tabs>
                <w:tab w:val="left" w:pos="540"/>
                <w:tab w:val="left" w:pos="1440"/>
                <w:tab w:val="right" w:pos="10710"/>
              </w:tabs>
              <w:spacing w:before="120"/>
              <w:jc w:val="both"/>
              <w:rPr>
                <w:rFonts w:ascii="Times New Roman" w:hAnsi="Times New Roman"/>
                <w:sz w:val="18"/>
                <w:szCs w:val="18"/>
              </w:rPr>
            </w:pPr>
            <w:r w:rsidRPr="00AF46DD">
              <w:rPr>
                <w:rFonts w:ascii="Times New Roman" w:hAnsi="Times New Roman"/>
                <w:sz w:val="18"/>
                <w:szCs w:val="18"/>
              </w:rPr>
              <w:fldChar w:fldCharType="begin">
                <w:ffData>
                  <w:name w:val="Text63"/>
                  <w:enabled/>
                  <w:calcOnExit w:val="0"/>
                  <w:textInput/>
                </w:ffData>
              </w:fldChar>
            </w:r>
            <w:r w:rsidRPr="00AF46DD">
              <w:rPr>
                <w:rFonts w:ascii="Times New Roman" w:hAnsi="Times New Roman"/>
                <w:sz w:val="18"/>
                <w:szCs w:val="18"/>
              </w:rPr>
              <w:instrText xml:space="preserve"> FORMTEXT </w:instrText>
            </w:r>
            <w:r w:rsidRPr="00AF46DD">
              <w:rPr>
                <w:rFonts w:ascii="Times New Roman" w:hAnsi="Times New Roman"/>
                <w:sz w:val="18"/>
                <w:szCs w:val="18"/>
              </w:rPr>
            </w:r>
            <w:r w:rsidRPr="00AF46DD">
              <w:rPr>
                <w:rFonts w:ascii="Times New Roman" w:hAnsi="Times New Roman"/>
                <w:sz w:val="18"/>
                <w:szCs w:val="18"/>
              </w:rPr>
              <w:fldChar w:fldCharType="separate"/>
            </w:r>
            <w:r w:rsidRPr="00AF46DD">
              <w:rPr>
                <w:rFonts w:ascii="Times New Roman" w:hAnsi="Times New Roman"/>
                <w:noProof/>
                <w:sz w:val="18"/>
                <w:szCs w:val="18"/>
              </w:rPr>
              <w:t> </w:t>
            </w:r>
            <w:r w:rsidRPr="00AF46DD">
              <w:rPr>
                <w:rFonts w:ascii="Times New Roman" w:hAnsi="Times New Roman"/>
                <w:noProof/>
                <w:sz w:val="18"/>
                <w:szCs w:val="18"/>
              </w:rPr>
              <w:t> </w:t>
            </w:r>
            <w:r w:rsidRPr="00AF46DD">
              <w:rPr>
                <w:rFonts w:ascii="Times New Roman" w:hAnsi="Times New Roman"/>
                <w:noProof/>
                <w:sz w:val="18"/>
                <w:szCs w:val="18"/>
              </w:rPr>
              <w:t> </w:t>
            </w:r>
            <w:r w:rsidRPr="00AF46DD">
              <w:rPr>
                <w:rFonts w:ascii="Times New Roman" w:hAnsi="Times New Roman"/>
                <w:noProof/>
                <w:sz w:val="18"/>
                <w:szCs w:val="18"/>
              </w:rPr>
              <w:t> </w:t>
            </w:r>
            <w:r w:rsidRPr="00AF46DD">
              <w:rPr>
                <w:rFonts w:ascii="Times New Roman" w:hAnsi="Times New Roman"/>
                <w:noProof/>
                <w:sz w:val="18"/>
                <w:szCs w:val="18"/>
              </w:rPr>
              <w:t> </w:t>
            </w:r>
            <w:r w:rsidRPr="00AF46DD">
              <w:rPr>
                <w:rFonts w:ascii="Times New Roman" w:hAnsi="Times New Roman"/>
                <w:sz w:val="18"/>
                <w:szCs w:val="18"/>
              </w:rPr>
              <w:fldChar w:fldCharType="end"/>
            </w:r>
            <w:bookmarkEnd w:id="5"/>
          </w:p>
        </w:tc>
        <w:tc>
          <w:tcPr>
            <w:tcW w:w="2762" w:type="dxa"/>
            <w:gridSpan w:val="2"/>
            <w:tcBorders>
              <w:top w:val="single" w:sz="6" w:space="0" w:color="auto"/>
              <w:bottom w:val="single" w:sz="6" w:space="0" w:color="auto"/>
              <w:right w:val="single" w:sz="6" w:space="0" w:color="auto"/>
            </w:tcBorders>
          </w:tcPr>
          <w:p w:rsidR="004A1052" w:rsidRPr="00AF46DD" w:rsidRDefault="004A1052" w:rsidP="00AA6E15">
            <w:pPr>
              <w:tabs>
                <w:tab w:val="left" w:pos="540"/>
                <w:tab w:val="right" w:pos="10710"/>
              </w:tabs>
              <w:ind w:right="74"/>
              <w:jc w:val="both"/>
              <w:rPr>
                <w:rFonts w:ascii="Times New Roman" w:hAnsi="Times New Roman"/>
                <w:sz w:val="18"/>
                <w:szCs w:val="18"/>
              </w:rPr>
            </w:pPr>
            <w:r w:rsidRPr="00AF46DD">
              <w:rPr>
                <w:rFonts w:ascii="Times New Roman" w:hAnsi="Times New Roman"/>
                <w:sz w:val="18"/>
                <w:szCs w:val="18"/>
              </w:rPr>
              <w:t>COUNTRY</w:t>
            </w:r>
          </w:p>
          <w:bookmarkStart w:id="6" w:name="Text64"/>
          <w:p w:rsidR="004A1052" w:rsidRPr="00AF46DD" w:rsidRDefault="004A1052" w:rsidP="00AA6E15">
            <w:pPr>
              <w:tabs>
                <w:tab w:val="left" w:pos="540"/>
                <w:tab w:val="left" w:pos="1440"/>
                <w:tab w:val="right" w:pos="10710"/>
              </w:tabs>
              <w:spacing w:before="120"/>
              <w:ind w:left="342"/>
              <w:jc w:val="both"/>
              <w:rPr>
                <w:rFonts w:ascii="Times New Roman" w:hAnsi="Times New Roman"/>
                <w:sz w:val="18"/>
                <w:szCs w:val="18"/>
              </w:rPr>
            </w:pPr>
            <w:r w:rsidRPr="00AF46DD">
              <w:rPr>
                <w:rFonts w:ascii="Times New Roman" w:hAnsi="Times New Roman"/>
                <w:sz w:val="18"/>
                <w:szCs w:val="18"/>
              </w:rPr>
              <w:fldChar w:fldCharType="begin">
                <w:ffData>
                  <w:name w:val="Text64"/>
                  <w:enabled/>
                  <w:calcOnExit w:val="0"/>
                  <w:textInput/>
                </w:ffData>
              </w:fldChar>
            </w:r>
            <w:r w:rsidRPr="00AF46DD">
              <w:rPr>
                <w:rFonts w:ascii="Times New Roman" w:hAnsi="Times New Roman"/>
                <w:sz w:val="18"/>
                <w:szCs w:val="18"/>
              </w:rPr>
              <w:instrText xml:space="preserve"> FORMTEXT </w:instrText>
            </w:r>
            <w:r w:rsidRPr="00AF46DD">
              <w:rPr>
                <w:rFonts w:ascii="Times New Roman" w:hAnsi="Times New Roman"/>
                <w:sz w:val="18"/>
                <w:szCs w:val="18"/>
              </w:rPr>
            </w:r>
            <w:r w:rsidRPr="00AF46DD">
              <w:rPr>
                <w:rFonts w:ascii="Times New Roman" w:hAnsi="Times New Roman"/>
                <w:sz w:val="18"/>
                <w:szCs w:val="18"/>
              </w:rPr>
              <w:fldChar w:fldCharType="separate"/>
            </w:r>
            <w:r w:rsidRPr="00AF46DD">
              <w:rPr>
                <w:rFonts w:ascii="Times New Roman" w:hAnsi="Times New Roman"/>
                <w:noProof/>
                <w:sz w:val="18"/>
                <w:szCs w:val="18"/>
              </w:rPr>
              <w:t> </w:t>
            </w:r>
            <w:r w:rsidRPr="00AF46DD">
              <w:rPr>
                <w:rFonts w:ascii="Times New Roman" w:hAnsi="Times New Roman"/>
                <w:noProof/>
                <w:sz w:val="18"/>
                <w:szCs w:val="18"/>
              </w:rPr>
              <w:t> </w:t>
            </w:r>
            <w:r w:rsidRPr="00AF46DD">
              <w:rPr>
                <w:rFonts w:ascii="Times New Roman" w:hAnsi="Times New Roman"/>
                <w:noProof/>
                <w:sz w:val="18"/>
                <w:szCs w:val="18"/>
              </w:rPr>
              <w:t> </w:t>
            </w:r>
            <w:r w:rsidRPr="00AF46DD">
              <w:rPr>
                <w:rFonts w:ascii="Times New Roman" w:hAnsi="Times New Roman"/>
                <w:noProof/>
                <w:sz w:val="18"/>
                <w:szCs w:val="18"/>
              </w:rPr>
              <w:t> </w:t>
            </w:r>
            <w:r w:rsidRPr="00AF46DD">
              <w:rPr>
                <w:rFonts w:ascii="Times New Roman" w:hAnsi="Times New Roman"/>
                <w:noProof/>
                <w:sz w:val="18"/>
                <w:szCs w:val="18"/>
              </w:rPr>
              <w:t> </w:t>
            </w:r>
            <w:r w:rsidRPr="00AF46DD">
              <w:rPr>
                <w:rFonts w:ascii="Times New Roman" w:hAnsi="Times New Roman"/>
                <w:sz w:val="18"/>
                <w:szCs w:val="18"/>
              </w:rPr>
              <w:fldChar w:fldCharType="end"/>
            </w:r>
            <w:bookmarkEnd w:id="6"/>
          </w:p>
        </w:tc>
      </w:tr>
      <w:tr w:rsidR="004A1052" w:rsidRPr="00AF46DD" w:rsidTr="00AA6E15">
        <w:tc>
          <w:tcPr>
            <w:tcW w:w="5220" w:type="dxa"/>
            <w:gridSpan w:val="2"/>
            <w:tcBorders>
              <w:top w:val="single" w:sz="6" w:space="0" w:color="auto"/>
              <w:left w:val="single" w:sz="6" w:space="0" w:color="auto"/>
              <w:bottom w:val="single" w:sz="6" w:space="0" w:color="auto"/>
            </w:tcBorders>
          </w:tcPr>
          <w:p w:rsidR="004A1052" w:rsidRPr="00AF46DD" w:rsidRDefault="004A1052" w:rsidP="00AA6E15">
            <w:pPr>
              <w:tabs>
                <w:tab w:val="left" w:pos="540"/>
                <w:tab w:val="left" w:pos="1440"/>
                <w:tab w:val="right" w:pos="10710"/>
              </w:tabs>
              <w:jc w:val="both"/>
              <w:rPr>
                <w:rFonts w:ascii="Times New Roman" w:hAnsi="Times New Roman"/>
                <w:sz w:val="18"/>
                <w:szCs w:val="18"/>
              </w:rPr>
            </w:pPr>
            <w:r w:rsidRPr="00AF46DD">
              <w:rPr>
                <w:rFonts w:ascii="Times New Roman" w:hAnsi="Times New Roman"/>
                <w:sz w:val="18"/>
                <w:szCs w:val="18"/>
              </w:rPr>
              <w:t>CONTACT PERSON</w:t>
            </w:r>
          </w:p>
          <w:p w:rsidR="004A1052" w:rsidRPr="00AF46DD" w:rsidRDefault="004A1052" w:rsidP="00AA6E15">
            <w:pPr>
              <w:tabs>
                <w:tab w:val="left" w:pos="540"/>
                <w:tab w:val="left" w:pos="1440"/>
                <w:tab w:val="right" w:pos="10710"/>
              </w:tabs>
              <w:spacing w:before="120"/>
              <w:ind w:left="360"/>
              <w:jc w:val="both"/>
              <w:rPr>
                <w:rFonts w:ascii="Times New Roman" w:hAnsi="Times New Roman"/>
                <w:sz w:val="18"/>
                <w:szCs w:val="18"/>
              </w:rPr>
            </w:pPr>
            <w:r w:rsidRPr="00AF46DD">
              <w:rPr>
                <w:rFonts w:ascii="Times New Roman" w:hAnsi="Times New Roman"/>
                <w:sz w:val="18"/>
                <w:szCs w:val="18"/>
              </w:rPr>
              <w:fldChar w:fldCharType="begin">
                <w:ffData>
                  <w:name w:val="Text46"/>
                  <w:enabled/>
                  <w:calcOnExit w:val="0"/>
                  <w:textInput/>
                </w:ffData>
              </w:fldChar>
            </w:r>
            <w:bookmarkStart w:id="7" w:name="Text46"/>
            <w:r w:rsidRPr="00AF46DD">
              <w:rPr>
                <w:rFonts w:ascii="Times New Roman" w:hAnsi="Times New Roman"/>
                <w:sz w:val="18"/>
                <w:szCs w:val="18"/>
              </w:rPr>
              <w:instrText xml:space="preserve"> FORMTEXT </w:instrText>
            </w:r>
            <w:r w:rsidRPr="00AF46DD">
              <w:rPr>
                <w:rFonts w:ascii="Times New Roman" w:hAnsi="Times New Roman"/>
                <w:sz w:val="18"/>
                <w:szCs w:val="18"/>
              </w:rPr>
            </w:r>
            <w:r w:rsidRPr="00AF46DD">
              <w:rPr>
                <w:rFonts w:ascii="Times New Roman" w:hAnsi="Times New Roman"/>
                <w:sz w:val="18"/>
                <w:szCs w:val="18"/>
              </w:rPr>
              <w:fldChar w:fldCharType="separate"/>
            </w:r>
            <w:r w:rsidRPr="00AF46DD">
              <w:rPr>
                <w:rFonts w:ascii="Times New Roman" w:hAnsi="Times New Roman"/>
                <w:noProof/>
                <w:sz w:val="18"/>
                <w:szCs w:val="18"/>
              </w:rPr>
              <w:t> </w:t>
            </w:r>
            <w:r w:rsidRPr="00AF46DD">
              <w:rPr>
                <w:rFonts w:ascii="Times New Roman" w:hAnsi="Times New Roman"/>
                <w:noProof/>
                <w:sz w:val="18"/>
                <w:szCs w:val="18"/>
              </w:rPr>
              <w:t> </w:t>
            </w:r>
            <w:r w:rsidRPr="00AF46DD">
              <w:rPr>
                <w:rFonts w:ascii="Times New Roman" w:hAnsi="Times New Roman"/>
                <w:noProof/>
                <w:sz w:val="18"/>
                <w:szCs w:val="18"/>
              </w:rPr>
              <w:t> </w:t>
            </w:r>
            <w:r w:rsidRPr="00AF46DD">
              <w:rPr>
                <w:rFonts w:ascii="Times New Roman" w:hAnsi="Times New Roman"/>
                <w:noProof/>
                <w:sz w:val="18"/>
                <w:szCs w:val="18"/>
              </w:rPr>
              <w:t> </w:t>
            </w:r>
            <w:r w:rsidRPr="00AF46DD">
              <w:rPr>
                <w:rFonts w:ascii="Times New Roman" w:hAnsi="Times New Roman"/>
                <w:noProof/>
                <w:sz w:val="18"/>
                <w:szCs w:val="18"/>
              </w:rPr>
              <w:t> </w:t>
            </w:r>
            <w:r w:rsidRPr="00AF46DD">
              <w:rPr>
                <w:rFonts w:ascii="Times New Roman" w:hAnsi="Times New Roman"/>
                <w:sz w:val="18"/>
                <w:szCs w:val="18"/>
              </w:rPr>
              <w:fldChar w:fldCharType="end"/>
            </w:r>
            <w:bookmarkEnd w:id="7"/>
          </w:p>
        </w:tc>
        <w:tc>
          <w:tcPr>
            <w:tcW w:w="5400" w:type="dxa"/>
            <w:gridSpan w:val="3"/>
            <w:tcBorders>
              <w:top w:val="single" w:sz="6" w:space="0" w:color="auto"/>
              <w:bottom w:val="single" w:sz="6" w:space="0" w:color="auto"/>
              <w:right w:val="single" w:sz="6" w:space="0" w:color="auto"/>
            </w:tcBorders>
          </w:tcPr>
          <w:p w:rsidR="004A1052" w:rsidRPr="00AF46DD" w:rsidRDefault="004A1052" w:rsidP="00AA6E15">
            <w:pPr>
              <w:tabs>
                <w:tab w:val="left" w:pos="540"/>
                <w:tab w:val="left" w:pos="1440"/>
                <w:tab w:val="right" w:pos="10710"/>
              </w:tabs>
              <w:jc w:val="both"/>
              <w:rPr>
                <w:rFonts w:ascii="Times New Roman" w:hAnsi="Times New Roman"/>
                <w:sz w:val="18"/>
                <w:szCs w:val="18"/>
              </w:rPr>
            </w:pPr>
            <w:r w:rsidRPr="00AF46DD">
              <w:rPr>
                <w:rFonts w:ascii="Times New Roman" w:hAnsi="Times New Roman"/>
                <w:sz w:val="18"/>
                <w:szCs w:val="18"/>
              </w:rPr>
              <w:t>TITLE</w:t>
            </w:r>
          </w:p>
          <w:p w:rsidR="004A1052" w:rsidRPr="00AF46DD" w:rsidRDefault="004A1052" w:rsidP="00AA6E15">
            <w:pPr>
              <w:tabs>
                <w:tab w:val="left" w:pos="540"/>
                <w:tab w:val="left" w:pos="1440"/>
                <w:tab w:val="right" w:pos="10710"/>
              </w:tabs>
              <w:spacing w:before="120"/>
              <w:jc w:val="both"/>
              <w:rPr>
                <w:rFonts w:ascii="Times New Roman" w:hAnsi="Times New Roman"/>
                <w:sz w:val="18"/>
                <w:szCs w:val="18"/>
              </w:rPr>
            </w:pPr>
            <w:r w:rsidRPr="00AF46DD">
              <w:rPr>
                <w:rFonts w:ascii="Times New Roman" w:hAnsi="Times New Roman"/>
                <w:sz w:val="18"/>
                <w:szCs w:val="18"/>
              </w:rPr>
              <w:fldChar w:fldCharType="begin">
                <w:ffData>
                  <w:name w:val="Text47"/>
                  <w:enabled/>
                  <w:calcOnExit w:val="0"/>
                  <w:textInput/>
                </w:ffData>
              </w:fldChar>
            </w:r>
            <w:bookmarkStart w:id="8" w:name="Text47"/>
            <w:r w:rsidRPr="00AF46DD">
              <w:rPr>
                <w:rFonts w:ascii="Times New Roman" w:hAnsi="Times New Roman"/>
                <w:sz w:val="18"/>
                <w:szCs w:val="18"/>
              </w:rPr>
              <w:instrText xml:space="preserve"> FORMTEXT </w:instrText>
            </w:r>
            <w:r w:rsidRPr="00AF46DD">
              <w:rPr>
                <w:rFonts w:ascii="Times New Roman" w:hAnsi="Times New Roman"/>
                <w:sz w:val="18"/>
                <w:szCs w:val="18"/>
              </w:rPr>
            </w:r>
            <w:r w:rsidRPr="00AF46DD">
              <w:rPr>
                <w:rFonts w:ascii="Times New Roman" w:hAnsi="Times New Roman"/>
                <w:sz w:val="18"/>
                <w:szCs w:val="18"/>
              </w:rPr>
              <w:fldChar w:fldCharType="separate"/>
            </w:r>
            <w:r w:rsidRPr="00AF46DD">
              <w:rPr>
                <w:rFonts w:ascii="Times New Roman" w:hAnsi="Times New Roman"/>
                <w:noProof/>
                <w:sz w:val="18"/>
                <w:szCs w:val="18"/>
              </w:rPr>
              <w:t> </w:t>
            </w:r>
            <w:r w:rsidRPr="00AF46DD">
              <w:rPr>
                <w:rFonts w:ascii="Times New Roman" w:hAnsi="Times New Roman"/>
                <w:noProof/>
                <w:sz w:val="18"/>
                <w:szCs w:val="18"/>
              </w:rPr>
              <w:t> </w:t>
            </w:r>
            <w:r w:rsidRPr="00AF46DD">
              <w:rPr>
                <w:rFonts w:ascii="Times New Roman" w:hAnsi="Times New Roman"/>
                <w:noProof/>
                <w:sz w:val="18"/>
                <w:szCs w:val="18"/>
              </w:rPr>
              <w:t> </w:t>
            </w:r>
            <w:r w:rsidRPr="00AF46DD">
              <w:rPr>
                <w:rFonts w:ascii="Times New Roman" w:hAnsi="Times New Roman"/>
                <w:noProof/>
                <w:sz w:val="18"/>
                <w:szCs w:val="18"/>
              </w:rPr>
              <w:t> </w:t>
            </w:r>
            <w:r w:rsidRPr="00AF46DD">
              <w:rPr>
                <w:rFonts w:ascii="Times New Roman" w:hAnsi="Times New Roman"/>
                <w:noProof/>
                <w:sz w:val="18"/>
                <w:szCs w:val="18"/>
              </w:rPr>
              <w:t> </w:t>
            </w:r>
            <w:r w:rsidRPr="00AF46DD">
              <w:rPr>
                <w:rFonts w:ascii="Times New Roman" w:hAnsi="Times New Roman"/>
                <w:sz w:val="18"/>
                <w:szCs w:val="18"/>
              </w:rPr>
              <w:fldChar w:fldCharType="end"/>
            </w:r>
            <w:bookmarkEnd w:id="8"/>
          </w:p>
        </w:tc>
      </w:tr>
      <w:tr w:rsidR="004A1052" w:rsidRPr="00AF46DD" w:rsidTr="00AA6E15">
        <w:tc>
          <w:tcPr>
            <w:tcW w:w="2700" w:type="dxa"/>
            <w:tcBorders>
              <w:top w:val="single" w:sz="6" w:space="0" w:color="auto"/>
              <w:left w:val="single" w:sz="6" w:space="0" w:color="auto"/>
              <w:bottom w:val="nil"/>
            </w:tcBorders>
          </w:tcPr>
          <w:p w:rsidR="004A1052" w:rsidRPr="00AF46DD" w:rsidRDefault="004A1052" w:rsidP="00AA6E15">
            <w:pPr>
              <w:tabs>
                <w:tab w:val="left" w:pos="540"/>
                <w:tab w:val="left" w:pos="1440"/>
                <w:tab w:val="right" w:pos="10710"/>
              </w:tabs>
              <w:jc w:val="both"/>
              <w:rPr>
                <w:rFonts w:ascii="Times New Roman" w:hAnsi="Times New Roman"/>
                <w:sz w:val="18"/>
                <w:szCs w:val="18"/>
              </w:rPr>
            </w:pPr>
            <w:r w:rsidRPr="00AF46DD">
              <w:rPr>
                <w:rFonts w:ascii="Times New Roman" w:hAnsi="Times New Roman"/>
                <w:sz w:val="18"/>
                <w:szCs w:val="18"/>
              </w:rPr>
              <w:t>TELEPHONE NUMBER</w:t>
            </w:r>
          </w:p>
          <w:p w:rsidR="004A1052" w:rsidRPr="00AF46DD" w:rsidRDefault="004A1052" w:rsidP="00AA6E15">
            <w:pPr>
              <w:tabs>
                <w:tab w:val="left" w:pos="540"/>
                <w:tab w:val="left" w:pos="1440"/>
                <w:tab w:val="right" w:pos="10710"/>
              </w:tabs>
              <w:spacing w:before="120"/>
              <w:ind w:left="360"/>
              <w:jc w:val="both"/>
              <w:rPr>
                <w:rFonts w:ascii="Times New Roman" w:hAnsi="Times New Roman"/>
                <w:sz w:val="18"/>
                <w:szCs w:val="18"/>
              </w:rPr>
            </w:pPr>
            <w:r w:rsidRPr="00AF46DD">
              <w:rPr>
                <w:rFonts w:ascii="Times New Roman" w:hAnsi="Times New Roman"/>
                <w:sz w:val="18"/>
                <w:szCs w:val="18"/>
              </w:rPr>
              <w:fldChar w:fldCharType="begin">
                <w:ffData>
                  <w:name w:val="Text48"/>
                  <w:enabled/>
                  <w:calcOnExit w:val="0"/>
                  <w:textInput/>
                </w:ffData>
              </w:fldChar>
            </w:r>
            <w:bookmarkStart w:id="9" w:name="Text48"/>
            <w:r w:rsidRPr="00AF46DD">
              <w:rPr>
                <w:rFonts w:ascii="Times New Roman" w:hAnsi="Times New Roman"/>
                <w:sz w:val="18"/>
                <w:szCs w:val="18"/>
              </w:rPr>
              <w:instrText xml:space="preserve"> FORMTEXT </w:instrText>
            </w:r>
            <w:r w:rsidRPr="00AF46DD">
              <w:rPr>
                <w:rFonts w:ascii="Times New Roman" w:hAnsi="Times New Roman"/>
                <w:sz w:val="18"/>
                <w:szCs w:val="18"/>
              </w:rPr>
            </w:r>
            <w:r w:rsidRPr="00AF46DD">
              <w:rPr>
                <w:rFonts w:ascii="Times New Roman" w:hAnsi="Times New Roman"/>
                <w:sz w:val="18"/>
                <w:szCs w:val="18"/>
              </w:rPr>
              <w:fldChar w:fldCharType="separate"/>
            </w:r>
            <w:r w:rsidRPr="00AF46DD">
              <w:rPr>
                <w:rFonts w:ascii="Times New Roman" w:hAnsi="Times New Roman"/>
                <w:noProof/>
                <w:sz w:val="18"/>
                <w:szCs w:val="18"/>
              </w:rPr>
              <w:t> </w:t>
            </w:r>
            <w:r w:rsidRPr="00AF46DD">
              <w:rPr>
                <w:rFonts w:ascii="Times New Roman" w:hAnsi="Times New Roman"/>
                <w:noProof/>
                <w:sz w:val="18"/>
                <w:szCs w:val="18"/>
              </w:rPr>
              <w:t> </w:t>
            </w:r>
            <w:r w:rsidRPr="00AF46DD">
              <w:rPr>
                <w:rFonts w:ascii="Times New Roman" w:hAnsi="Times New Roman"/>
                <w:noProof/>
                <w:sz w:val="18"/>
                <w:szCs w:val="18"/>
              </w:rPr>
              <w:t> </w:t>
            </w:r>
            <w:r w:rsidRPr="00AF46DD">
              <w:rPr>
                <w:rFonts w:ascii="Times New Roman" w:hAnsi="Times New Roman"/>
                <w:noProof/>
                <w:sz w:val="18"/>
                <w:szCs w:val="18"/>
              </w:rPr>
              <w:t> </w:t>
            </w:r>
            <w:r w:rsidRPr="00AF46DD">
              <w:rPr>
                <w:rFonts w:ascii="Times New Roman" w:hAnsi="Times New Roman"/>
                <w:noProof/>
                <w:sz w:val="18"/>
                <w:szCs w:val="18"/>
              </w:rPr>
              <w:t> </w:t>
            </w:r>
            <w:r w:rsidRPr="00AF46DD">
              <w:rPr>
                <w:rFonts w:ascii="Times New Roman" w:hAnsi="Times New Roman"/>
                <w:sz w:val="18"/>
                <w:szCs w:val="18"/>
              </w:rPr>
              <w:fldChar w:fldCharType="end"/>
            </w:r>
            <w:bookmarkEnd w:id="9"/>
          </w:p>
        </w:tc>
        <w:tc>
          <w:tcPr>
            <w:tcW w:w="2520" w:type="dxa"/>
            <w:tcBorders>
              <w:top w:val="single" w:sz="6" w:space="0" w:color="auto"/>
              <w:bottom w:val="nil"/>
            </w:tcBorders>
          </w:tcPr>
          <w:p w:rsidR="004A1052" w:rsidRPr="00AF46DD" w:rsidRDefault="004A1052" w:rsidP="00AA6E15">
            <w:pPr>
              <w:tabs>
                <w:tab w:val="left" w:pos="540"/>
                <w:tab w:val="right" w:pos="10710"/>
              </w:tabs>
              <w:jc w:val="both"/>
              <w:rPr>
                <w:rFonts w:ascii="Times New Roman" w:hAnsi="Times New Roman"/>
                <w:sz w:val="18"/>
                <w:szCs w:val="18"/>
              </w:rPr>
            </w:pPr>
            <w:r w:rsidRPr="00AF46DD">
              <w:rPr>
                <w:rFonts w:ascii="Times New Roman" w:hAnsi="Times New Roman"/>
                <w:sz w:val="18"/>
                <w:szCs w:val="18"/>
              </w:rPr>
              <w:t>FAX NUMBER</w:t>
            </w:r>
          </w:p>
          <w:p w:rsidR="004A1052" w:rsidRPr="00AF46DD" w:rsidRDefault="004A1052" w:rsidP="00AA6E15">
            <w:pPr>
              <w:tabs>
                <w:tab w:val="left" w:pos="540"/>
                <w:tab w:val="left" w:pos="1440"/>
                <w:tab w:val="right" w:pos="10710"/>
              </w:tabs>
              <w:spacing w:before="120"/>
              <w:jc w:val="both"/>
              <w:rPr>
                <w:rFonts w:ascii="Times New Roman" w:hAnsi="Times New Roman"/>
                <w:sz w:val="18"/>
                <w:szCs w:val="18"/>
              </w:rPr>
            </w:pPr>
            <w:r w:rsidRPr="00AF46DD">
              <w:rPr>
                <w:rFonts w:ascii="Times New Roman" w:hAnsi="Times New Roman"/>
                <w:sz w:val="18"/>
                <w:szCs w:val="18"/>
              </w:rPr>
              <w:fldChar w:fldCharType="begin">
                <w:ffData>
                  <w:name w:val="Text49"/>
                  <w:enabled/>
                  <w:calcOnExit w:val="0"/>
                  <w:textInput/>
                </w:ffData>
              </w:fldChar>
            </w:r>
            <w:bookmarkStart w:id="10" w:name="Text49"/>
            <w:r w:rsidRPr="00AF46DD">
              <w:rPr>
                <w:rFonts w:ascii="Times New Roman" w:hAnsi="Times New Roman"/>
                <w:sz w:val="18"/>
                <w:szCs w:val="18"/>
              </w:rPr>
              <w:instrText xml:space="preserve"> FORMTEXT </w:instrText>
            </w:r>
            <w:r w:rsidRPr="00AF46DD">
              <w:rPr>
                <w:rFonts w:ascii="Times New Roman" w:hAnsi="Times New Roman"/>
                <w:sz w:val="18"/>
                <w:szCs w:val="18"/>
              </w:rPr>
            </w:r>
            <w:r w:rsidRPr="00AF46DD">
              <w:rPr>
                <w:rFonts w:ascii="Times New Roman" w:hAnsi="Times New Roman"/>
                <w:sz w:val="18"/>
                <w:szCs w:val="18"/>
              </w:rPr>
              <w:fldChar w:fldCharType="separate"/>
            </w:r>
            <w:r w:rsidRPr="00AF46DD">
              <w:rPr>
                <w:rFonts w:ascii="Times New Roman" w:hAnsi="Times New Roman"/>
                <w:noProof/>
                <w:sz w:val="18"/>
                <w:szCs w:val="18"/>
              </w:rPr>
              <w:t> </w:t>
            </w:r>
            <w:r w:rsidRPr="00AF46DD">
              <w:rPr>
                <w:rFonts w:ascii="Times New Roman" w:hAnsi="Times New Roman"/>
                <w:noProof/>
                <w:sz w:val="18"/>
                <w:szCs w:val="18"/>
              </w:rPr>
              <w:t> </w:t>
            </w:r>
            <w:r w:rsidRPr="00AF46DD">
              <w:rPr>
                <w:rFonts w:ascii="Times New Roman" w:hAnsi="Times New Roman"/>
                <w:noProof/>
                <w:sz w:val="18"/>
                <w:szCs w:val="18"/>
              </w:rPr>
              <w:t> </w:t>
            </w:r>
            <w:r w:rsidRPr="00AF46DD">
              <w:rPr>
                <w:rFonts w:ascii="Times New Roman" w:hAnsi="Times New Roman"/>
                <w:noProof/>
                <w:sz w:val="18"/>
                <w:szCs w:val="18"/>
              </w:rPr>
              <w:t> </w:t>
            </w:r>
            <w:r w:rsidRPr="00AF46DD">
              <w:rPr>
                <w:rFonts w:ascii="Times New Roman" w:hAnsi="Times New Roman"/>
                <w:noProof/>
                <w:sz w:val="18"/>
                <w:szCs w:val="18"/>
              </w:rPr>
              <w:t> </w:t>
            </w:r>
            <w:r w:rsidRPr="00AF46DD">
              <w:rPr>
                <w:rFonts w:ascii="Times New Roman" w:hAnsi="Times New Roman"/>
                <w:sz w:val="18"/>
                <w:szCs w:val="18"/>
              </w:rPr>
              <w:fldChar w:fldCharType="end"/>
            </w:r>
            <w:bookmarkEnd w:id="10"/>
          </w:p>
        </w:tc>
        <w:tc>
          <w:tcPr>
            <w:tcW w:w="5400" w:type="dxa"/>
            <w:gridSpan w:val="3"/>
            <w:tcBorders>
              <w:top w:val="single" w:sz="6" w:space="0" w:color="auto"/>
              <w:bottom w:val="nil"/>
              <w:right w:val="single" w:sz="6" w:space="0" w:color="auto"/>
            </w:tcBorders>
          </w:tcPr>
          <w:p w:rsidR="004A1052" w:rsidRPr="00AF46DD" w:rsidRDefault="004A1052" w:rsidP="00AA6E15">
            <w:pPr>
              <w:tabs>
                <w:tab w:val="left" w:pos="540"/>
                <w:tab w:val="right" w:pos="10710"/>
              </w:tabs>
              <w:jc w:val="both"/>
              <w:rPr>
                <w:rFonts w:ascii="Times New Roman" w:hAnsi="Times New Roman"/>
                <w:sz w:val="18"/>
                <w:szCs w:val="18"/>
              </w:rPr>
            </w:pPr>
            <w:r w:rsidRPr="00AF46DD">
              <w:rPr>
                <w:rFonts w:ascii="Times New Roman" w:hAnsi="Times New Roman"/>
                <w:sz w:val="18"/>
                <w:szCs w:val="18"/>
              </w:rPr>
              <w:t>E-MAIL  ADDRESS</w:t>
            </w:r>
          </w:p>
          <w:p w:rsidR="004A1052" w:rsidRPr="00AF46DD" w:rsidRDefault="004A1052" w:rsidP="00AA6E15">
            <w:pPr>
              <w:tabs>
                <w:tab w:val="left" w:pos="540"/>
                <w:tab w:val="left" w:pos="1440"/>
                <w:tab w:val="right" w:pos="10710"/>
              </w:tabs>
              <w:spacing w:before="120"/>
              <w:jc w:val="both"/>
              <w:rPr>
                <w:rFonts w:ascii="Times New Roman" w:hAnsi="Times New Roman"/>
                <w:sz w:val="18"/>
                <w:szCs w:val="18"/>
              </w:rPr>
            </w:pPr>
            <w:r w:rsidRPr="00AF46DD">
              <w:rPr>
                <w:rFonts w:ascii="Times New Roman" w:hAnsi="Times New Roman"/>
                <w:sz w:val="18"/>
                <w:szCs w:val="18"/>
              </w:rPr>
              <w:fldChar w:fldCharType="begin">
                <w:ffData>
                  <w:name w:val="Text50"/>
                  <w:enabled/>
                  <w:calcOnExit w:val="0"/>
                  <w:textInput/>
                </w:ffData>
              </w:fldChar>
            </w:r>
            <w:bookmarkStart w:id="11" w:name="Text50"/>
            <w:r w:rsidRPr="00AF46DD">
              <w:rPr>
                <w:rFonts w:ascii="Times New Roman" w:hAnsi="Times New Roman"/>
                <w:sz w:val="18"/>
                <w:szCs w:val="18"/>
              </w:rPr>
              <w:instrText xml:space="preserve"> FORMTEXT </w:instrText>
            </w:r>
            <w:r w:rsidRPr="00AF46DD">
              <w:rPr>
                <w:rFonts w:ascii="Times New Roman" w:hAnsi="Times New Roman"/>
                <w:sz w:val="18"/>
                <w:szCs w:val="18"/>
              </w:rPr>
            </w:r>
            <w:r w:rsidRPr="00AF46DD">
              <w:rPr>
                <w:rFonts w:ascii="Times New Roman" w:hAnsi="Times New Roman"/>
                <w:sz w:val="18"/>
                <w:szCs w:val="18"/>
              </w:rPr>
              <w:fldChar w:fldCharType="separate"/>
            </w:r>
            <w:r w:rsidRPr="00AF46DD">
              <w:rPr>
                <w:rFonts w:ascii="Times New Roman" w:hAnsi="Times New Roman"/>
                <w:noProof/>
                <w:sz w:val="18"/>
                <w:szCs w:val="18"/>
              </w:rPr>
              <w:t> </w:t>
            </w:r>
            <w:r w:rsidRPr="00AF46DD">
              <w:rPr>
                <w:rFonts w:ascii="Times New Roman" w:hAnsi="Times New Roman"/>
                <w:noProof/>
                <w:sz w:val="18"/>
                <w:szCs w:val="18"/>
              </w:rPr>
              <w:t> </w:t>
            </w:r>
            <w:r w:rsidRPr="00AF46DD">
              <w:rPr>
                <w:rFonts w:ascii="Times New Roman" w:hAnsi="Times New Roman"/>
                <w:noProof/>
                <w:sz w:val="18"/>
                <w:szCs w:val="18"/>
              </w:rPr>
              <w:t> </w:t>
            </w:r>
            <w:r w:rsidRPr="00AF46DD">
              <w:rPr>
                <w:rFonts w:ascii="Times New Roman" w:hAnsi="Times New Roman"/>
                <w:noProof/>
                <w:sz w:val="18"/>
                <w:szCs w:val="18"/>
              </w:rPr>
              <w:t> </w:t>
            </w:r>
            <w:r w:rsidRPr="00AF46DD">
              <w:rPr>
                <w:rFonts w:ascii="Times New Roman" w:hAnsi="Times New Roman"/>
                <w:noProof/>
                <w:sz w:val="18"/>
                <w:szCs w:val="18"/>
              </w:rPr>
              <w:t> </w:t>
            </w:r>
            <w:r w:rsidRPr="00AF46DD">
              <w:rPr>
                <w:rFonts w:ascii="Times New Roman" w:hAnsi="Times New Roman"/>
                <w:sz w:val="18"/>
                <w:szCs w:val="18"/>
              </w:rPr>
              <w:fldChar w:fldCharType="end"/>
            </w:r>
            <w:bookmarkEnd w:id="11"/>
          </w:p>
        </w:tc>
      </w:tr>
      <w:tr w:rsidR="004A1052" w:rsidRPr="00AF46DD" w:rsidTr="00AA6E15">
        <w:tc>
          <w:tcPr>
            <w:tcW w:w="10620" w:type="dxa"/>
            <w:gridSpan w:val="5"/>
            <w:tcBorders>
              <w:top w:val="single" w:sz="6" w:space="0" w:color="auto"/>
              <w:left w:val="single" w:sz="6" w:space="0" w:color="auto"/>
              <w:bottom w:val="nil"/>
              <w:right w:val="single" w:sz="6" w:space="0" w:color="auto"/>
            </w:tcBorders>
            <w:shd w:val="pct25" w:color="auto" w:fill="auto"/>
          </w:tcPr>
          <w:p w:rsidR="004A1052" w:rsidRPr="00AF46DD" w:rsidRDefault="004A1052" w:rsidP="00AA6E15">
            <w:pPr>
              <w:tabs>
                <w:tab w:val="left" w:pos="540"/>
                <w:tab w:val="left" w:pos="1440"/>
                <w:tab w:val="right" w:pos="10710"/>
              </w:tabs>
              <w:jc w:val="both"/>
              <w:rPr>
                <w:rFonts w:ascii="Times New Roman" w:hAnsi="Times New Roman"/>
                <w:sz w:val="18"/>
                <w:szCs w:val="18"/>
              </w:rPr>
            </w:pPr>
            <w:r w:rsidRPr="00AF46DD">
              <w:rPr>
                <w:rFonts w:ascii="Times New Roman" w:hAnsi="Times New Roman"/>
                <w:b/>
                <w:sz w:val="18"/>
                <w:szCs w:val="18"/>
              </w:rPr>
              <w:t>BILLING ADDRESS (IF DIFFERENT FROM ABOVE) or NOTICE ADDRESS (IF DIFFERENT FROM ABOVE)</w:t>
            </w:r>
          </w:p>
        </w:tc>
      </w:tr>
      <w:tr w:rsidR="004A1052" w:rsidRPr="00AF46DD" w:rsidTr="00AA6E15">
        <w:tc>
          <w:tcPr>
            <w:tcW w:w="10620" w:type="dxa"/>
            <w:gridSpan w:val="5"/>
            <w:tcBorders>
              <w:top w:val="single" w:sz="6" w:space="0" w:color="auto"/>
              <w:left w:val="single" w:sz="6" w:space="0" w:color="auto"/>
              <w:bottom w:val="single" w:sz="6" w:space="0" w:color="auto"/>
              <w:right w:val="single" w:sz="6" w:space="0" w:color="auto"/>
            </w:tcBorders>
          </w:tcPr>
          <w:p w:rsidR="004A1052" w:rsidRPr="00AF46DD" w:rsidRDefault="004A1052" w:rsidP="00AA6E15">
            <w:pPr>
              <w:tabs>
                <w:tab w:val="left" w:pos="540"/>
                <w:tab w:val="left" w:pos="1440"/>
                <w:tab w:val="right" w:pos="10710"/>
              </w:tabs>
              <w:ind w:right="3600"/>
              <w:jc w:val="both"/>
              <w:rPr>
                <w:rFonts w:ascii="Times New Roman" w:hAnsi="Times New Roman"/>
                <w:sz w:val="18"/>
                <w:szCs w:val="18"/>
              </w:rPr>
            </w:pPr>
            <w:r w:rsidRPr="00AF46DD">
              <w:rPr>
                <w:rFonts w:ascii="Times New Roman" w:hAnsi="Times New Roman"/>
                <w:sz w:val="18"/>
                <w:szCs w:val="18"/>
              </w:rPr>
              <w:t>STREET ADDRESS</w:t>
            </w:r>
          </w:p>
          <w:p w:rsidR="004A1052" w:rsidRPr="00AF46DD" w:rsidRDefault="004A1052" w:rsidP="00AA6E15">
            <w:pPr>
              <w:tabs>
                <w:tab w:val="left" w:pos="540"/>
                <w:tab w:val="left" w:pos="1440"/>
                <w:tab w:val="right" w:pos="10710"/>
              </w:tabs>
              <w:spacing w:before="120"/>
              <w:ind w:left="360" w:right="3600"/>
              <w:jc w:val="both"/>
              <w:rPr>
                <w:rFonts w:ascii="Times New Roman" w:hAnsi="Times New Roman"/>
                <w:sz w:val="18"/>
                <w:szCs w:val="18"/>
              </w:rPr>
            </w:pPr>
            <w:r>
              <w:rPr>
                <w:rFonts w:ascii="Times New Roman" w:hAnsi="Times New Roman"/>
                <w:sz w:val="18"/>
                <w:szCs w:val="18"/>
              </w:rPr>
              <w:t>1407 Rensen Street, Suite 1</w:t>
            </w:r>
          </w:p>
        </w:tc>
      </w:tr>
      <w:tr w:rsidR="004A1052" w:rsidRPr="00AF46DD" w:rsidTr="00AA6E15">
        <w:tc>
          <w:tcPr>
            <w:tcW w:w="2700" w:type="dxa"/>
            <w:tcBorders>
              <w:top w:val="single" w:sz="6" w:space="0" w:color="auto"/>
              <w:left w:val="single" w:sz="6" w:space="0" w:color="auto"/>
              <w:bottom w:val="single" w:sz="6" w:space="0" w:color="auto"/>
            </w:tcBorders>
          </w:tcPr>
          <w:p w:rsidR="004A1052" w:rsidRPr="00AF46DD" w:rsidRDefault="004A1052" w:rsidP="00AA6E15">
            <w:pPr>
              <w:tabs>
                <w:tab w:val="left" w:pos="540"/>
                <w:tab w:val="right" w:pos="10710"/>
              </w:tabs>
              <w:ind w:right="74"/>
              <w:jc w:val="both"/>
              <w:rPr>
                <w:rFonts w:ascii="Times New Roman" w:hAnsi="Times New Roman"/>
                <w:sz w:val="18"/>
                <w:szCs w:val="18"/>
              </w:rPr>
            </w:pPr>
            <w:r w:rsidRPr="00AF46DD">
              <w:rPr>
                <w:rFonts w:ascii="Times New Roman" w:hAnsi="Times New Roman"/>
                <w:sz w:val="18"/>
                <w:szCs w:val="18"/>
              </w:rPr>
              <w:t>CITY</w:t>
            </w:r>
          </w:p>
          <w:p w:rsidR="004A1052" w:rsidRPr="00AF46DD" w:rsidRDefault="004A1052" w:rsidP="00AA6E15">
            <w:pPr>
              <w:tabs>
                <w:tab w:val="left" w:pos="540"/>
                <w:tab w:val="left" w:pos="1440"/>
                <w:tab w:val="right" w:pos="10710"/>
              </w:tabs>
              <w:spacing w:before="120"/>
              <w:ind w:left="360"/>
              <w:jc w:val="both"/>
              <w:rPr>
                <w:rFonts w:ascii="Times New Roman" w:hAnsi="Times New Roman"/>
                <w:sz w:val="18"/>
                <w:szCs w:val="18"/>
              </w:rPr>
            </w:pPr>
            <w:r>
              <w:rPr>
                <w:rFonts w:ascii="Times New Roman" w:hAnsi="Times New Roman"/>
                <w:sz w:val="18"/>
                <w:szCs w:val="18"/>
              </w:rPr>
              <w:t>Lansing</w:t>
            </w:r>
          </w:p>
        </w:tc>
        <w:tc>
          <w:tcPr>
            <w:tcW w:w="2520" w:type="dxa"/>
            <w:tcBorders>
              <w:top w:val="single" w:sz="6" w:space="0" w:color="auto"/>
              <w:bottom w:val="single" w:sz="6" w:space="0" w:color="auto"/>
            </w:tcBorders>
          </w:tcPr>
          <w:p w:rsidR="004A1052" w:rsidRPr="00AF46DD" w:rsidRDefault="004A1052" w:rsidP="00AA6E15">
            <w:pPr>
              <w:tabs>
                <w:tab w:val="left" w:pos="540"/>
              </w:tabs>
              <w:jc w:val="both"/>
              <w:rPr>
                <w:rFonts w:ascii="Times New Roman" w:hAnsi="Times New Roman"/>
                <w:sz w:val="18"/>
                <w:szCs w:val="18"/>
              </w:rPr>
            </w:pPr>
            <w:r w:rsidRPr="00AF46DD">
              <w:rPr>
                <w:rFonts w:ascii="Times New Roman" w:hAnsi="Times New Roman"/>
                <w:sz w:val="18"/>
                <w:szCs w:val="18"/>
              </w:rPr>
              <w:t>STATE</w:t>
            </w:r>
          </w:p>
          <w:p w:rsidR="004A1052" w:rsidRPr="00AF46DD" w:rsidRDefault="004A1052" w:rsidP="00AA6E15">
            <w:pPr>
              <w:tabs>
                <w:tab w:val="left" w:pos="540"/>
                <w:tab w:val="right" w:pos="10710"/>
              </w:tabs>
              <w:spacing w:before="120"/>
              <w:ind w:left="342" w:right="72"/>
              <w:jc w:val="both"/>
              <w:rPr>
                <w:rFonts w:ascii="Times New Roman" w:hAnsi="Times New Roman"/>
                <w:sz w:val="18"/>
                <w:szCs w:val="18"/>
              </w:rPr>
            </w:pPr>
            <w:r>
              <w:rPr>
                <w:rFonts w:ascii="Times New Roman" w:hAnsi="Times New Roman"/>
                <w:sz w:val="18"/>
                <w:szCs w:val="18"/>
              </w:rPr>
              <w:t>MI</w:t>
            </w:r>
          </w:p>
        </w:tc>
        <w:tc>
          <w:tcPr>
            <w:tcW w:w="2638" w:type="dxa"/>
            <w:tcBorders>
              <w:top w:val="single" w:sz="6" w:space="0" w:color="auto"/>
              <w:bottom w:val="single" w:sz="6" w:space="0" w:color="auto"/>
            </w:tcBorders>
          </w:tcPr>
          <w:p w:rsidR="004A1052" w:rsidRPr="00AF46DD" w:rsidRDefault="004A1052" w:rsidP="00AA6E15">
            <w:pPr>
              <w:tabs>
                <w:tab w:val="left" w:pos="540"/>
                <w:tab w:val="right" w:pos="10710"/>
              </w:tabs>
              <w:ind w:right="74"/>
              <w:jc w:val="both"/>
              <w:rPr>
                <w:rFonts w:ascii="Times New Roman" w:hAnsi="Times New Roman"/>
                <w:sz w:val="18"/>
                <w:szCs w:val="18"/>
              </w:rPr>
            </w:pPr>
            <w:r w:rsidRPr="00AF46DD">
              <w:rPr>
                <w:rFonts w:ascii="Times New Roman" w:hAnsi="Times New Roman"/>
                <w:sz w:val="18"/>
                <w:szCs w:val="18"/>
              </w:rPr>
              <w:t>ZIP/POSTAL CODE</w:t>
            </w:r>
          </w:p>
          <w:p w:rsidR="004A1052" w:rsidRPr="00AF46DD" w:rsidRDefault="004A1052" w:rsidP="00AA6E15">
            <w:pPr>
              <w:tabs>
                <w:tab w:val="left" w:pos="540"/>
                <w:tab w:val="left" w:pos="1440"/>
                <w:tab w:val="right" w:pos="10710"/>
              </w:tabs>
              <w:spacing w:before="120"/>
              <w:ind w:left="252"/>
              <w:jc w:val="both"/>
              <w:rPr>
                <w:rFonts w:ascii="Times New Roman" w:hAnsi="Times New Roman"/>
                <w:sz w:val="18"/>
                <w:szCs w:val="18"/>
              </w:rPr>
            </w:pPr>
            <w:r>
              <w:rPr>
                <w:rFonts w:ascii="Times New Roman" w:hAnsi="Times New Roman"/>
                <w:sz w:val="18"/>
                <w:szCs w:val="18"/>
              </w:rPr>
              <w:t>48910</w:t>
            </w:r>
          </w:p>
        </w:tc>
        <w:tc>
          <w:tcPr>
            <w:tcW w:w="2762" w:type="dxa"/>
            <w:gridSpan w:val="2"/>
            <w:tcBorders>
              <w:top w:val="single" w:sz="6" w:space="0" w:color="auto"/>
              <w:bottom w:val="single" w:sz="6" w:space="0" w:color="auto"/>
              <w:right w:val="single" w:sz="6" w:space="0" w:color="auto"/>
            </w:tcBorders>
          </w:tcPr>
          <w:p w:rsidR="004A1052" w:rsidRPr="00AF46DD" w:rsidRDefault="004A1052" w:rsidP="00AA6E15">
            <w:pPr>
              <w:tabs>
                <w:tab w:val="left" w:pos="540"/>
                <w:tab w:val="right" w:pos="10710"/>
              </w:tabs>
              <w:ind w:right="74"/>
              <w:jc w:val="both"/>
              <w:rPr>
                <w:rFonts w:ascii="Times New Roman" w:hAnsi="Times New Roman"/>
                <w:sz w:val="18"/>
                <w:szCs w:val="18"/>
              </w:rPr>
            </w:pPr>
            <w:r w:rsidRPr="00AF46DD">
              <w:rPr>
                <w:rFonts w:ascii="Times New Roman" w:hAnsi="Times New Roman"/>
                <w:sz w:val="18"/>
                <w:szCs w:val="18"/>
              </w:rPr>
              <w:t>COUNTRY</w:t>
            </w:r>
          </w:p>
          <w:p w:rsidR="004A1052" w:rsidRPr="00AF46DD" w:rsidRDefault="004A1052" w:rsidP="00AA6E15">
            <w:pPr>
              <w:tabs>
                <w:tab w:val="left" w:pos="540"/>
                <w:tab w:val="left" w:pos="1440"/>
                <w:tab w:val="right" w:pos="10710"/>
              </w:tabs>
              <w:spacing w:before="120"/>
              <w:ind w:left="342"/>
              <w:jc w:val="both"/>
              <w:rPr>
                <w:rFonts w:ascii="Times New Roman" w:hAnsi="Times New Roman"/>
                <w:sz w:val="18"/>
                <w:szCs w:val="18"/>
              </w:rPr>
            </w:pPr>
            <w:r>
              <w:rPr>
                <w:rFonts w:ascii="Times New Roman" w:hAnsi="Times New Roman"/>
                <w:sz w:val="18"/>
                <w:szCs w:val="18"/>
              </w:rPr>
              <w:t>USA</w:t>
            </w:r>
          </w:p>
        </w:tc>
      </w:tr>
      <w:tr w:rsidR="004A1052" w:rsidRPr="00AF46DD" w:rsidTr="00AA6E15">
        <w:tc>
          <w:tcPr>
            <w:tcW w:w="5220" w:type="dxa"/>
            <w:gridSpan w:val="2"/>
            <w:tcBorders>
              <w:top w:val="single" w:sz="6" w:space="0" w:color="auto"/>
              <w:left w:val="single" w:sz="6" w:space="0" w:color="auto"/>
              <w:bottom w:val="single" w:sz="6" w:space="0" w:color="auto"/>
            </w:tcBorders>
          </w:tcPr>
          <w:p w:rsidR="004A1052" w:rsidRPr="00AF46DD" w:rsidRDefault="004A1052" w:rsidP="00AA6E15">
            <w:pPr>
              <w:tabs>
                <w:tab w:val="left" w:pos="540"/>
                <w:tab w:val="left" w:pos="1440"/>
                <w:tab w:val="right" w:pos="10710"/>
              </w:tabs>
              <w:jc w:val="both"/>
              <w:rPr>
                <w:rFonts w:ascii="Times New Roman" w:hAnsi="Times New Roman"/>
                <w:sz w:val="18"/>
                <w:szCs w:val="18"/>
              </w:rPr>
            </w:pPr>
            <w:r w:rsidRPr="00AF46DD">
              <w:rPr>
                <w:rFonts w:ascii="Times New Roman" w:hAnsi="Times New Roman"/>
                <w:sz w:val="18"/>
                <w:szCs w:val="18"/>
              </w:rPr>
              <w:t>CONTACT PERSON</w:t>
            </w:r>
          </w:p>
          <w:p w:rsidR="004A1052" w:rsidRPr="00AF46DD" w:rsidRDefault="004A1052" w:rsidP="00AA6E15">
            <w:pPr>
              <w:tabs>
                <w:tab w:val="left" w:pos="540"/>
                <w:tab w:val="left" w:pos="1440"/>
                <w:tab w:val="right" w:pos="10710"/>
              </w:tabs>
              <w:spacing w:before="120"/>
              <w:ind w:left="360"/>
              <w:jc w:val="both"/>
              <w:rPr>
                <w:rFonts w:ascii="Times New Roman" w:hAnsi="Times New Roman"/>
                <w:sz w:val="18"/>
                <w:szCs w:val="18"/>
              </w:rPr>
            </w:pPr>
            <w:r>
              <w:rPr>
                <w:rFonts w:ascii="Times New Roman" w:hAnsi="Times New Roman"/>
                <w:sz w:val="18"/>
                <w:szCs w:val="18"/>
              </w:rPr>
              <w:t>Randy Dykhuis</w:t>
            </w:r>
          </w:p>
        </w:tc>
        <w:tc>
          <w:tcPr>
            <w:tcW w:w="5400" w:type="dxa"/>
            <w:gridSpan w:val="3"/>
            <w:tcBorders>
              <w:top w:val="single" w:sz="6" w:space="0" w:color="auto"/>
              <w:bottom w:val="single" w:sz="6" w:space="0" w:color="auto"/>
              <w:right w:val="single" w:sz="6" w:space="0" w:color="auto"/>
            </w:tcBorders>
          </w:tcPr>
          <w:p w:rsidR="004A1052" w:rsidRPr="00AF46DD" w:rsidRDefault="004A1052" w:rsidP="00AA6E15">
            <w:pPr>
              <w:tabs>
                <w:tab w:val="left" w:pos="540"/>
                <w:tab w:val="left" w:pos="1440"/>
                <w:tab w:val="right" w:pos="10710"/>
              </w:tabs>
              <w:jc w:val="both"/>
              <w:rPr>
                <w:rFonts w:ascii="Times New Roman" w:hAnsi="Times New Roman"/>
                <w:sz w:val="18"/>
                <w:szCs w:val="18"/>
              </w:rPr>
            </w:pPr>
            <w:r w:rsidRPr="00AF46DD">
              <w:rPr>
                <w:rFonts w:ascii="Times New Roman" w:hAnsi="Times New Roman"/>
                <w:sz w:val="18"/>
                <w:szCs w:val="18"/>
              </w:rPr>
              <w:t>TITLE</w:t>
            </w:r>
          </w:p>
          <w:p w:rsidR="004A1052" w:rsidRPr="00AF46DD" w:rsidRDefault="004A1052" w:rsidP="00AA6E15">
            <w:pPr>
              <w:tabs>
                <w:tab w:val="left" w:pos="540"/>
                <w:tab w:val="left" w:pos="1440"/>
                <w:tab w:val="right" w:pos="10710"/>
              </w:tabs>
              <w:spacing w:before="120"/>
              <w:ind w:left="162"/>
              <w:jc w:val="both"/>
              <w:rPr>
                <w:rFonts w:ascii="Times New Roman" w:hAnsi="Times New Roman"/>
                <w:sz w:val="18"/>
                <w:szCs w:val="18"/>
              </w:rPr>
            </w:pPr>
            <w:r>
              <w:rPr>
                <w:rFonts w:ascii="Times New Roman" w:hAnsi="Times New Roman"/>
                <w:sz w:val="18"/>
                <w:szCs w:val="18"/>
              </w:rPr>
              <w:t>Executive Director</w:t>
            </w:r>
          </w:p>
        </w:tc>
      </w:tr>
      <w:tr w:rsidR="004A1052" w:rsidRPr="00AF46DD" w:rsidTr="00AA6E15">
        <w:tc>
          <w:tcPr>
            <w:tcW w:w="2700" w:type="dxa"/>
            <w:tcBorders>
              <w:top w:val="single" w:sz="6" w:space="0" w:color="auto"/>
              <w:left w:val="single" w:sz="6" w:space="0" w:color="auto"/>
              <w:bottom w:val="nil"/>
            </w:tcBorders>
          </w:tcPr>
          <w:p w:rsidR="004A1052" w:rsidRPr="00AF46DD" w:rsidRDefault="004A1052" w:rsidP="00AA6E15">
            <w:pPr>
              <w:tabs>
                <w:tab w:val="left" w:pos="540"/>
                <w:tab w:val="left" w:pos="1440"/>
                <w:tab w:val="right" w:pos="10710"/>
              </w:tabs>
              <w:jc w:val="both"/>
              <w:rPr>
                <w:rFonts w:ascii="Times New Roman" w:hAnsi="Times New Roman"/>
                <w:sz w:val="18"/>
                <w:szCs w:val="18"/>
              </w:rPr>
            </w:pPr>
            <w:r w:rsidRPr="00AF46DD">
              <w:rPr>
                <w:rFonts w:ascii="Times New Roman" w:hAnsi="Times New Roman"/>
                <w:sz w:val="18"/>
                <w:szCs w:val="18"/>
              </w:rPr>
              <w:t>TELEPHONE NUMBER</w:t>
            </w:r>
          </w:p>
          <w:p w:rsidR="004A1052" w:rsidRPr="00AF46DD" w:rsidRDefault="004A1052" w:rsidP="00AA6E15">
            <w:pPr>
              <w:tabs>
                <w:tab w:val="left" w:pos="540"/>
                <w:tab w:val="left" w:pos="1440"/>
                <w:tab w:val="right" w:pos="10710"/>
              </w:tabs>
              <w:spacing w:before="120"/>
              <w:ind w:left="360"/>
              <w:jc w:val="both"/>
              <w:rPr>
                <w:rFonts w:ascii="Times New Roman" w:hAnsi="Times New Roman"/>
                <w:sz w:val="18"/>
                <w:szCs w:val="18"/>
              </w:rPr>
            </w:pPr>
            <w:r>
              <w:t>800-530-9019 ext 119</w:t>
            </w:r>
          </w:p>
        </w:tc>
        <w:tc>
          <w:tcPr>
            <w:tcW w:w="2520" w:type="dxa"/>
            <w:tcBorders>
              <w:top w:val="single" w:sz="6" w:space="0" w:color="auto"/>
              <w:bottom w:val="nil"/>
            </w:tcBorders>
          </w:tcPr>
          <w:p w:rsidR="004A1052" w:rsidRPr="00AF46DD" w:rsidRDefault="004A1052" w:rsidP="00AA6E15">
            <w:pPr>
              <w:tabs>
                <w:tab w:val="left" w:pos="540"/>
                <w:tab w:val="right" w:pos="10710"/>
              </w:tabs>
              <w:jc w:val="both"/>
              <w:rPr>
                <w:rFonts w:ascii="Times New Roman" w:hAnsi="Times New Roman"/>
                <w:sz w:val="18"/>
                <w:szCs w:val="18"/>
              </w:rPr>
            </w:pPr>
            <w:r w:rsidRPr="00AF46DD">
              <w:rPr>
                <w:rFonts w:ascii="Times New Roman" w:hAnsi="Times New Roman"/>
                <w:sz w:val="18"/>
                <w:szCs w:val="18"/>
              </w:rPr>
              <w:t>FAX NUMBER</w:t>
            </w:r>
          </w:p>
          <w:p w:rsidR="004A1052" w:rsidRPr="00AF46DD" w:rsidRDefault="004A1052" w:rsidP="00AA6E15">
            <w:pPr>
              <w:tabs>
                <w:tab w:val="left" w:pos="540"/>
                <w:tab w:val="left" w:pos="1440"/>
                <w:tab w:val="right" w:pos="10710"/>
              </w:tabs>
              <w:spacing w:before="120"/>
              <w:ind w:left="342"/>
              <w:jc w:val="both"/>
              <w:rPr>
                <w:rFonts w:ascii="Times New Roman" w:hAnsi="Times New Roman"/>
                <w:sz w:val="18"/>
                <w:szCs w:val="18"/>
              </w:rPr>
            </w:pPr>
            <w:r w:rsidRPr="00AF46DD">
              <w:rPr>
                <w:rFonts w:ascii="Times New Roman" w:hAnsi="Times New Roman"/>
                <w:sz w:val="18"/>
                <w:szCs w:val="18"/>
              </w:rPr>
              <w:fldChar w:fldCharType="begin">
                <w:ffData>
                  <w:name w:val="Text23"/>
                  <w:enabled/>
                  <w:calcOnExit w:val="0"/>
                  <w:textInput/>
                </w:ffData>
              </w:fldChar>
            </w:r>
            <w:bookmarkStart w:id="12" w:name="Text23"/>
            <w:r w:rsidRPr="00AF46DD">
              <w:rPr>
                <w:rFonts w:ascii="Times New Roman" w:hAnsi="Times New Roman"/>
                <w:sz w:val="18"/>
                <w:szCs w:val="18"/>
              </w:rPr>
              <w:instrText xml:space="preserve"> FORMTEXT </w:instrText>
            </w:r>
            <w:r w:rsidRPr="00AF46DD">
              <w:rPr>
                <w:rFonts w:ascii="Times New Roman" w:hAnsi="Times New Roman"/>
                <w:sz w:val="18"/>
                <w:szCs w:val="18"/>
              </w:rPr>
            </w:r>
            <w:r w:rsidRPr="00AF46DD">
              <w:rPr>
                <w:rFonts w:ascii="Times New Roman" w:hAnsi="Times New Roman"/>
                <w:sz w:val="18"/>
                <w:szCs w:val="18"/>
              </w:rPr>
              <w:fldChar w:fldCharType="separate"/>
            </w:r>
            <w:r w:rsidRPr="00AF46DD">
              <w:rPr>
                <w:rFonts w:ascii="Times New Roman" w:hAnsi="Times New Roman"/>
                <w:noProof/>
                <w:sz w:val="18"/>
                <w:szCs w:val="18"/>
              </w:rPr>
              <w:t> </w:t>
            </w:r>
            <w:r w:rsidRPr="00AF46DD">
              <w:rPr>
                <w:rFonts w:ascii="Times New Roman" w:hAnsi="Times New Roman"/>
                <w:noProof/>
                <w:sz w:val="18"/>
                <w:szCs w:val="18"/>
              </w:rPr>
              <w:t> </w:t>
            </w:r>
            <w:r w:rsidRPr="00AF46DD">
              <w:rPr>
                <w:rFonts w:ascii="Times New Roman" w:hAnsi="Times New Roman"/>
                <w:noProof/>
                <w:sz w:val="18"/>
                <w:szCs w:val="18"/>
              </w:rPr>
              <w:t> </w:t>
            </w:r>
            <w:r w:rsidRPr="00AF46DD">
              <w:rPr>
                <w:rFonts w:ascii="Times New Roman" w:hAnsi="Times New Roman"/>
                <w:noProof/>
                <w:sz w:val="18"/>
                <w:szCs w:val="18"/>
              </w:rPr>
              <w:t> </w:t>
            </w:r>
            <w:r w:rsidRPr="00AF46DD">
              <w:rPr>
                <w:rFonts w:ascii="Times New Roman" w:hAnsi="Times New Roman"/>
                <w:noProof/>
                <w:sz w:val="18"/>
                <w:szCs w:val="18"/>
              </w:rPr>
              <w:t> </w:t>
            </w:r>
            <w:r w:rsidRPr="00AF46DD">
              <w:rPr>
                <w:rFonts w:ascii="Times New Roman" w:hAnsi="Times New Roman"/>
                <w:sz w:val="18"/>
                <w:szCs w:val="18"/>
              </w:rPr>
              <w:fldChar w:fldCharType="end"/>
            </w:r>
            <w:bookmarkEnd w:id="12"/>
          </w:p>
        </w:tc>
        <w:tc>
          <w:tcPr>
            <w:tcW w:w="5400" w:type="dxa"/>
            <w:gridSpan w:val="3"/>
            <w:tcBorders>
              <w:top w:val="single" w:sz="6" w:space="0" w:color="auto"/>
              <w:bottom w:val="nil"/>
              <w:right w:val="single" w:sz="6" w:space="0" w:color="auto"/>
            </w:tcBorders>
          </w:tcPr>
          <w:p w:rsidR="004A1052" w:rsidRPr="00AF46DD" w:rsidRDefault="004A1052" w:rsidP="00AA6E15">
            <w:pPr>
              <w:tabs>
                <w:tab w:val="left" w:pos="540"/>
                <w:tab w:val="right" w:pos="10710"/>
              </w:tabs>
              <w:jc w:val="both"/>
              <w:rPr>
                <w:rFonts w:ascii="Times New Roman" w:hAnsi="Times New Roman"/>
                <w:sz w:val="18"/>
                <w:szCs w:val="18"/>
              </w:rPr>
            </w:pPr>
            <w:r w:rsidRPr="00AF46DD">
              <w:rPr>
                <w:rFonts w:ascii="Times New Roman" w:hAnsi="Times New Roman"/>
                <w:sz w:val="18"/>
                <w:szCs w:val="18"/>
              </w:rPr>
              <w:t>E-MAIL  ADDRESS</w:t>
            </w:r>
          </w:p>
          <w:p w:rsidR="004A1052" w:rsidRPr="00AF46DD" w:rsidRDefault="00637139" w:rsidP="00AA6E15">
            <w:pPr>
              <w:tabs>
                <w:tab w:val="left" w:pos="540"/>
                <w:tab w:val="left" w:pos="1440"/>
                <w:tab w:val="right" w:pos="10710"/>
              </w:tabs>
              <w:spacing w:before="120"/>
              <w:ind w:left="162"/>
              <w:jc w:val="both"/>
              <w:rPr>
                <w:rFonts w:ascii="Times New Roman" w:hAnsi="Times New Roman"/>
                <w:sz w:val="18"/>
                <w:szCs w:val="18"/>
              </w:rPr>
            </w:pPr>
            <w:hyperlink r:id="rId12" w:history="1">
              <w:r w:rsidR="004A1052">
                <w:rPr>
                  <w:rStyle w:val="Hyperlink"/>
                </w:rPr>
                <w:t>dykhuisr@mcls.org</w:t>
              </w:r>
            </w:hyperlink>
          </w:p>
        </w:tc>
      </w:tr>
      <w:tr w:rsidR="004A1052" w:rsidRPr="00AF46DD" w:rsidTr="00AA6E15">
        <w:tc>
          <w:tcPr>
            <w:tcW w:w="10620" w:type="dxa"/>
            <w:gridSpan w:val="5"/>
            <w:tcBorders>
              <w:top w:val="single" w:sz="6" w:space="0" w:color="auto"/>
              <w:left w:val="single" w:sz="6" w:space="0" w:color="auto"/>
              <w:bottom w:val="nil"/>
              <w:right w:val="single" w:sz="6" w:space="0" w:color="auto"/>
            </w:tcBorders>
            <w:shd w:val="pct25" w:color="auto" w:fill="auto"/>
          </w:tcPr>
          <w:p w:rsidR="004A1052" w:rsidRPr="00AF46DD" w:rsidRDefault="004A1052" w:rsidP="00AA6E15">
            <w:pPr>
              <w:tabs>
                <w:tab w:val="left" w:pos="540"/>
                <w:tab w:val="left" w:pos="1440"/>
                <w:tab w:val="right" w:pos="10710"/>
              </w:tabs>
              <w:jc w:val="both"/>
              <w:rPr>
                <w:rFonts w:ascii="Times New Roman" w:hAnsi="Times New Roman"/>
                <w:sz w:val="18"/>
                <w:szCs w:val="18"/>
              </w:rPr>
            </w:pPr>
          </w:p>
        </w:tc>
      </w:tr>
      <w:tr w:rsidR="004A1052" w:rsidRPr="00AF46DD" w:rsidTr="00AA6E15">
        <w:tc>
          <w:tcPr>
            <w:tcW w:w="10620" w:type="dxa"/>
            <w:gridSpan w:val="5"/>
            <w:tcBorders>
              <w:top w:val="single" w:sz="6" w:space="0" w:color="auto"/>
              <w:left w:val="single" w:sz="6" w:space="0" w:color="auto"/>
              <w:bottom w:val="nil"/>
              <w:right w:val="single" w:sz="6" w:space="0" w:color="auto"/>
            </w:tcBorders>
          </w:tcPr>
          <w:p w:rsidR="004A1052" w:rsidRPr="00AF46DD" w:rsidRDefault="004A1052" w:rsidP="00AA6E15">
            <w:pPr>
              <w:tabs>
                <w:tab w:val="left" w:pos="6660"/>
                <w:tab w:val="left" w:pos="7020"/>
                <w:tab w:val="left" w:pos="8100"/>
                <w:tab w:val="left" w:pos="8460"/>
                <w:tab w:val="right" w:pos="10710"/>
              </w:tabs>
              <w:jc w:val="both"/>
              <w:rPr>
                <w:rFonts w:ascii="Times New Roman" w:hAnsi="Times New Roman"/>
                <w:sz w:val="18"/>
                <w:szCs w:val="18"/>
              </w:rPr>
            </w:pPr>
            <w:r w:rsidRPr="00AF46DD">
              <w:rPr>
                <w:rFonts w:ascii="Times New Roman" w:hAnsi="Times New Roman"/>
                <w:sz w:val="18"/>
                <w:szCs w:val="18"/>
              </w:rPr>
              <w:t>Is Institution considered exempt from tax in the country in which it is located?</w:t>
            </w:r>
            <w:r w:rsidRPr="00AF46DD">
              <w:rPr>
                <w:rFonts w:ascii="Times New Roman" w:hAnsi="Times New Roman"/>
                <w:sz w:val="18"/>
                <w:szCs w:val="18"/>
              </w:rPr>
              <w:tab/>
            </w:r>
            <w:r w:rsidRPr="00AF46DD">
              <w:rPr>
                <w:rFonts w:ascii="Times New Roman" w:hAnsi="Times New Roman"/>
                <w:sz w:val="18"/>
                <w:szCs w:val="18"/>
              </w:rPr>
              <w:fldChar w:fldCharType="begin">
                <w:ffData>
                  <w:name w:val="Check7"/>
                  <w:enabled/>
                  <w:calcOnExit w:val="0"/>
                  <w:checkBox>
                    <w:sizeAuto/>
                    <w:default w:val="0"/>
                    <w:checked w:val="0"/>
                  </w:checkBox>
                </w:ffData>
              </w:fldChar>
            </w:r>
            <w:bookmarkStart w:id="13" w:name="Check7"/>
            <w:r w:rsidRPr="00AF46DD">
              <w:rPr>
                <w:rFonts w:ascii="Times New Roman" w:hAnsi="Times New Roman"/>
                <w:sz w:val="18"/>
                <w:szCs w:val="18"/>
              </w:rPr>
              <w:instrText xml:space="preserve"> FORMCHECKBOX </w:instrText>
            </w:r>
            <w:r w:rsidR="00637139">
              <w:rPr>
                <w:rFonts w:ascii="Times New Roman" w:hAnsi="Times New Roman"/>
                <w:sz w:val="18"/>
                <w:szCs w:val="18"/>
              </w:rPr>
            </w:r>
            <w:r w:rsidR="00637139">
              <w:rPr>
                <w:rFonts w:ascii="Times New Roman" w:hAnsi="Times New Roman"/>
                <w:sz w:val="18"/>
                <w:szCs w:val="18"/>
              </w:rPr>
              <w:fldChar w:fldCharType="separate"/>
            </w:r>
            <w:r w:rsidRPr="00AF46DD">
              <w:rPr>
                <w:rFonts w:ascii="Times New Roman" w:hAnsi="Times New Roman"/>
                <w:sz w:val="18"/>
                <w:szCs w:val="18"/>
              </w:rPr>
              <w:fldChar w:fldCharType="end"/>
            </w:r>
            <w:bookmarkEnd w:id="13"/>
            <w:r w:rsidRPr="00AF46DD">
              <w:rPr>
                <w:rFonts w:ascii="Times New Roman" w:hAnsi="Times New Roman"/>
                <w:sz w:val="18"/>
                <w:szCs w:val="18"/>
              </w:rPr>
              <w:tab/>
              <w:t>Yes</w:t>
            </w:r>
            <w:r w:rsidRPr="00AF46DD">
              <w:rPr>
                <w:rFonts w:ascii="Times New Roman" w:hAnsi="Times New Roman"/>
                <w:sz w:val="18"/>
                <w:szCs w:val="18"/>
              </w:rPr>
              <w:tab/>
            </w:r>
            <w:r w:rsidRPr="00AF46DD">
              <w:rPr>
                <w:rFonts w:ascii="Times New Roman" w:hAnsi="Times New Roman"/>
                <w:sz w:val="18"/>
                <w:szCs w:val="18"/>
              </w:rPr>
              <w:fldChar w:fldCharType="begin">
                <w:ffData>
                  <w:name w:val="Check8"/>
                  <w:enabled/>
                  <w:calcOnExit w:val="0"/>
                  <w:checkBox>
                    <w:sizeAuto/>
                    <w:default w:val="0"/>
                  </w:checkBox>
                </w:ffData>
              </w:fldChar>
            </w:r>
            <w:bookmarkStart w:id="14" w:name="Check8"/>
            <w:r w:rsidRPr="00AF46DD">
              <w:rPr>
                <w:rFonts w:ascii="Times New Roman" w:hAnsi="Times New Roman"/>
                <w:sz w:val="18"/>
                <w:szCs w:val="18"/>
              </w:rPr>
              <w:instrText xml:space="preserve"> FORMCHECKBOX </w:instrText>
            </w:r>
            <w:r w:rsidR="00637139">
              <w:rPr>
                <w:rFonts w:ascii="Times New Roman" w:hAnsi="Times New Roman"/>
                <w:sz w:val="18"/>
                <w:szCs w:val="18"/>
              </w:rPr>
            </w:r>
            <w:r w:rsidR="00637139">
              <w:rPr>
                <w:rFonts w:ascii="Times New Roman" w:hAnsi="Times New Roman"/>
                <w:sz w:val="18"/>
                <w:szCs w:val="18"/>
              </w:rPr>
              <w:fldChar w:fldCharType="separate"/>
            </w:r>
            <w:r w:rsidRPr="00AF46DD">
              <w:rPr>
                <w:rFonts w:ascii="Times New Roman" w:hAnsi="Times New Roman"/>
                <w:sz w:val="18"/>
                <w:szCs w:val="18"/>
              </w:rPr>
              <w:fldChar w:fldCharType="end"/>
            </w:r>
            <w:bookmarkEnd w:id="14"/>
            <w:r w:rsidRPr="00AF46DD">
              <w:rPr>
                <w:rFonts w:ascii="Times New Roman" w:hAnsi="Times New Roman"/>
                <w:sz w:val="18"/>
                <w:szCs w:val="18"/>
              </w:rPr>
              <w:tab/>
              <w:t>No</w:t>
            </w:r>
          </w:p>
        </w:tc>
      </w:tr>
      <w:tr w:rsidR="004A1052" w:rsidRPr="00AF46DD" w:rsidTr="00AA6E15">
        <w:tc>
          <w:tcPr>
            <w:tcW w:w="10620" w:type="dxa"/>
            <w:gridSpan w:val="5"/>
            <w:tcBorders>
              <w:top w:val="single" w:sz="6" w:space="0" w:color="auto"/>
              <w:left w:val="single" w:sz="6" w:space="0" w:color="auto"/>
              <w:bottom w:val="single" w:sz="6" w:space="0" w:color="auto"/>
              <w:right w:val="single" w:sz="6" w:space="0" w:color="auto"/>
            </w:tcBorders>
            <w:shd w:val="pct25" w:color="auto" w:fill="auto"/>
          </w:tcPr>
          <w:p w:rsidR="004A1052" w:rsidRPr="00AF46DD" w:rsidRDefault="004A1052" w:rsidP="00AA6E15">
            <w:pPr>
              <w:tabs>
                <w:tab w:val="left" w:pos="6660"/>
                <w:tab w:val="left" w:pos="7020"/>
                <w:tab w:val="left" w:pos="8100"/>
                <w:tab w:val="left" w:pos="8460"/>
                <w:tab w:val="right" w:pos="10710"/>
              </w:tabs>
              <w:jc w:val="both"/>
              <w:rPr>
                <w:rFonts w:ascii="Times New Roman" w:hAnsi="Times New Roman"/>
                <w:sz w:val="18"/>
                <w:szCs w:val="18"/>
              </w:rPr>
            </w:pPr>
          </w:p>
        </w:tc>
      </w:tr>
    </w:tbl>
    <w:p w:rsidR="004A1052" w:rsidRDefault="004A1052" w:rsidP="0006091E">
      <w:pPr>
        <w:rPr>
          <w:noProof/>
        </w:rPr>
      </w:pPr>
    </w:p>
    <w:sectPr w:rsidR="004A1052" w:rsidSect="002B632B">
      <w:footerReference w:type="default" r:id="rId13"/>
      <w:pgSz w:w="12240" w:h="15840"/>
      <w:pgMar w:top="1440" w:right="1440" w:bottom="1440" w:left="1440" w:header="720" w:footer="86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139" w:rsidRDefault="00637139" w:rsidP="001A37DE">
      <w:pPr>
        <w:spacing w:after="0" w:line="240" w:lineRule="auto"/>
      </w:pPr>
      <w:r>
        <w:separator/>
      </w:r>
    </w:p>
  </w:endnote>
  <w:endnote w:type="continuationSeparator" w:id="0">
    <w:p w:rsidR="00637139" w:rsidRDefault="00637139" w:rsidP="001A3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BC2" w:rsidRDefault="00375FC5" w:rsidP="001A37DE">
    <w:pPr>
      <w:pStyle w:val="Footer"/>
      <w:pBdr>
        <w:top w:val="thinThickSmallGap" w:sz="24" w:space="1" w:color="622423" w:themeColor="accent2" w:themeShade="7F"/>
      </w:pBdr>
      <w:rPr>
        <w:rFonts w:cstheme="minorHAnsi"/>
      </w:rPr>
    </w:pPr>
    <w:r>
      <w:rPr>
        <w:rFonts w:cstheme="minorHAnsi"/>
      </w:rPr>
      <w:t>2015-02-23</w:t>
    </w:r>
    <w:r w:rsidR="00A87308">
      <w:rPr>
        <w:rFonts w:cstheme="minorHAnsi"/>
      </w:rPr>
      <w:t xml:space="preserve"> MI-SPI</w:t>
    </w:r>
    <w:r w:rsidR="00795BC2">
      <w:rPr>
        <w:rFonts w:cstheme="minorHAnsi"/>
      </w:rPr>
      <w:t xml:space="preserve"> Preliminary Project Plan</w:t>
    </w:r>
  </w:p>
  <w:p w:rsidR="00795BC2" w:rsidRPr="001A37DE" w:rsidRDefault="00795BC2" w:rsidP="001A37DE">
    <w:pPr>
      <w:pStyle w:val="Footer"/>
      <w:pBdr>
        <w:top w:val="thinThickSmallGap" w:sz="24" w:space="1" w:color="622423" w:themeColor="accent2" w:themeShade="7F"/>
      </w:pBdr>
      <w:rPr>
        <w:rFonts w:cstheme="minorHAnsi"/>
      </w:rPr>
    </w:pPr>
    <w:r w:rsidRPr="001A37DE">
      <w:rPr>
        <w:rFonts w:cstheme="minorHAnsi"/>
      </w:rPr>
      <w:ptab w:relativeTo="margin" w:alignment="right" w:leader="none"/>
    </w:r>
    <w:r w:rsidRPr="001A37DE">
      <w:rPr>
        <w:rFonts w:cstheme="minorHAnsi"/>
      </w:rPr>
      <w:t xml:space="preserve">Page </w:t>
    </w:r>
    <w:r w:rsidRPr="00FF169D">
      <w:rPr>
        <w:rFonts w:cstheme="minorHAnsi"/>
      </w:rPr>
      <w:fldChar w:fldCharType="begin"/>
    </w:r>
    <w:r w:rsidRPr="00FF169D">
      <w:rPr>
        <w:rFonts w:cstheme="minorHAnsi"/>
      </w:rPr>
      <w:instrText xml:space="preserve"> PAGE   \* MERGEFORMAT </w:instrText>
    </w:r>
    <w:r w:rsidRPr="00FF169D">
      <w:rPr>
        <w:rFonts w:cstheme="minorHAnsi"/>
      </w:rPr>
      <w:fldChar w:fldCharType="separate"/>
    </w:r>
    <w:r w:rsidR="00637139">
      <w:rPr>
        <w:rFonts w:cstheme="minorHAnsi"/>
        <w:noProof/>
      </w:rPr>
      <w:t>1</w:t>
    </w:r>
    <w:r w:rsidRPr="00FF169D">
      <w:rPr>
        <w:rFonts w:cstheme="minorHAns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139" w:rsidRDefault="00637139" w:rsidP="001A37DE">
      <w:pPr>
        <w:spacing w:after="0" w:line="240" w:lineRule="auto"/>
      </w:pPr>
      <w:r>
        <w:separator/>
      </w:r>
    </w:p>
  </w:footnote>
  <w:footnote w:type="continuationSeparator" w:id="0">
    <w:p w:rsidR="00637139" w:rsidRDefault="00637139" w:rsidP="001A37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459D6"/>
    <w:multiLevelType w:val="hybridMultilevel"/>
    <w:tmpl w:val="4E6CE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2C5698"/>
    <w:multiLevelType w:val="hybridMultilevel"/>
    <w:tmpl w:val="ABECF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83746F"/>
    <w:multiLevelType w:val="hybridMultilevel"/>
    <w:tmpl w:val="33247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CA6583"/>
    <w:multiLevelType w:val="hybridMultilevel"/>
    <w:tmpl w:val="3DCAB9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F767AF3"/>
    <w:multiLevelType w:val="hybridMultilevel"/>
    <w:tmpl w:val="062064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0867D7"/>
    <w:multiLevelType w:val="hybridMultilevel"/>
    <w:tmpl w:val="4A18E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0763B1"/>
    <w:multiLevelType w:val="hybridMultilevel"/>
    <w:tmpl w:val="70562A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E003E9"/>
    <w:multiLevelType w:val="hybridMultilevel"/>
    <w:tmpl w:val="538A2C4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
    <w:nsid w:val="3F77086D"/>
    <w:multiLevelType w:val="hybridMultilevel"/>
    <w:tmpl w:val="C0B6B6F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nsid w:val="4BDD2603"/>
    <w:multiLevelType w:val="hybridMultilevel"/>
    <w:tmpl w:val="8D2667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EC236D8"/>
    <w:multiLevelType w:val="hybridMultilevel"/>
    <w:tmpl w:val="7758CE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3EB2ADC"/>
    <w:multiLevelType w:val="hybridMultilevel"/>
    <w:tmpl w:val="BF06F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C22AD9"/>
    <w:multiLevelType w:val="hybridMultilevel"/>
    <w:tmpl w:val="A0D467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F2D09F2"/>
    <w:multiLevelType w:val="hybridMultilevel"/>
    <w:tmpl w:val="70DAE4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195734"/>
    <w:multiLevelType w:val="hybridMultilevel"/>
    <w:tmpl w:val="3BCC61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755043EA"/>
    <w:multiLevelType w:val="hybridMultilevel"/>
    <w:tmpl w:val="4D68ED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9627073"/>
    <w:multiLevelType w:val="hybridMultilevel"/>
    <w:tmpl w:val="8536F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98B1758"/>
    <w:multiLevelType w:val="hybridMultilevel"/>
    <w:tmpl w:val="9C445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14"/>
  </w:num>
  <w:num w:numId="4">
    <w:abstractNumId w:val="5"/>
  </w:num>
  <w:num w:numId="5">
    <w:abstractNumId w:val="3"/>
  </w:num>
  <w:num w:numId="6">
    <w:abstractNumId w:val="2"/>
  </w:num>
  <w:num w:numId="7">
    <w:abstractNumId w:val="9"/>
  </w:num>
  <w:num w:numId="8">
    <w:abstractNumId w:val="0"/>
  </w:num>
  <w:num w:numId="9">
    <w:abstractNumId w:val="11"/>
  </w:num>
  <w:num w:numId="10">
    <w:abstractNumId w:val="8"/>
  </w:num>
  <w:num w:numId="11">
    <w:abstractNumId w:val="7"/>
  </w:num>
  <w:num w:numId="12">
    <w:abstractNumId w:val="12"/>
  </w:num>
  <w:num w:numId="13">
    <w:abstractNumId w:val="17"/>
  </w:num>
  <w:num w:numId="14">
    <w:abstractNumId w:val="1"/>
  </w:num>
  <w:num w:numId="15">
    <w:abstractNumId w:val="16"/>
  </w:num>
  <w:num w:numId="16">
    <w:abstractNumId w:val="6"/>
  </w:num>
  <w:num w:numId="17">
    <w:abstractNumId w:val="15"/>
  </w:num>
  <w:num w:numId="18">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77D6E"/>
    <w:rsid w:val="0000095D"/>
    <w:rsid w:val="000036D7"/>
    <w:rsid w:val="00003CA7"/>
    <w:rsid w:val="0000442D"/>
    <w:rsid w:val="0001694D"/>
    <w:rsid w:val="000210DE"/>
    <w:rsid w:val="00021954"/>
    <w:rsid w:val="00027F50"/>
    <w:rsid w:val="00033D04"/>
    <w:rsid w:val="000343D3"/>
    <w:rsid w:val="00041F3A"/>
    <w:rsid w:val="0004406E"/>
    <w:rsid w:val="0004600D"/>
    <w:rsid w:val="000460E6"/>
    <w:rsid w:val="0004647E"/>
    <w:rsid w:val="00046F1F"/>
    <w:rsid w:val="0004709E"/>
    <w:rsid w:val="0006091E"/>
    <w:rsid w:val="0006606D"/>
    <w:rsid w:val="00073B73"/>
    <w:rsid w:val="00074457"/>
    <w:rsid w:val="00075795"/>
    <w:rsid w:val="00075F5A"/>
    <w:rsid w:val="000814BF"/>
    <w:rsid w:val="0008452D"/>
    <w:rsid w:val="000868E3"/>
    <w:rsid w:val="000B2A0F"/>
    <w:rsid w:val="000B329E"/>
    <w:rsid w:val="000B4599"/>
    <w:rsid w:val="000B4E93"/>
    <w:rsid w:val="000B5137"/>
    <w:rsid w:val="000C2915"/>
    <w:rsid w:val="000C4E1D"/>
    <w:rsid w:val="000C5CD6"/>
    <w:rsid w:val="000D01C0"/>
    <w:rsid w:val="000D01E5"/>
    <w:rsid w:val="000D108F"/>
    <w:rsid w:val="000D4EC8"/>
    <w:rsid w:val="000E05AB"/>
    <w:rsid w:val="000E1FA1"/>
    <w:rsid w:val="000F34B4"/>
    <w:rsid w:val="000F5196"/>
    <w:rsid w:val="000F577B"/>
    <w:rsid w:val="000F7884"/>
    <w:rsid w:val="00103023"/>
    <w:rsid w:val="00105E77"/>
    <w:rsid w:val="001105B4"/>
    <w:rsid w:val="001119E6"/>
    <w:rsid w:val="001173A2"/>
    <w:rsid w:val="00117D6E"/>
    <w:rsid w:val="001201A0"/>
    <w:rsid w:val="00120E6B"/>
    <w:rsid w:val="001212C6"/>
    <w:rsid w:val="00121D1D"/>
    <w:rsid w:val="00123561"/>
    <w:rsid w:val="00124B73"/>
    <w:rsid w:val="00124EE2"/>
    <w:rsid w:val="00126C7E"/>
    <w:rsid w:val="00127F93"/>
    <w:rsid w:val="00132DB6"/>
    <w:rsid w:val="00133F07"/>
    <w:rsid w:val="0013415C"/>
    <w:rsid w:val="001350A6"/>
    <w:rsid w:val="00140108"/>
    <w:rsid w:val="00143767"/>
    <w:rsid w:val="00143D70"/>
    <w:rsid w:val="00147A94"/>
    <w:rsid w:val="001541F5"/>
    <w:rsid w:val="00154A47"/>
    <w:rsid w:val="001564C1"/>
    <w:rsid w:val="00157A40"/>
    <w:rsid w:val="00160B29"/>
    <w:rsid w:val="0016321F"/>
    <w:rsid w:val="0016335D"/>
    <w:rsid w:val="00163D67"/>
    <w:rsid w:val="00166733"/>
    <w:rsid w:val="00180C56"/>
    <w:rsid w:val="001819DF"/>
    <w:rsid w:val="00183686"/>
    <w:rsid w:val="00183C85"/>
    <w:rsid w:val="00184A1F"/>
    <w:rsid w:val="001850A4"/>
    <w:rsid w:val="00191BED"/>
    <w:rsid w:val="00195CB5"/>
    <w:rsid w:val="00197993"/>
    <w:rsid w:val="001A0C50"/>
    <w:rsid w:val="001A37DE"/>
    <w:rsid w:val="001B31E2"/>
    <w:rsid w:val="001B5EAB"/>
    <w:rsid w:val="001C03C4"/>
    <w:rsid w:val="001C5BA5"/>
    <w:rsid w:val="001C758F"/>
    <w:rsid w:val="001D12F7"/>
    <w:rsid w:val="001D2D90"/>
    <w:rsid w:val="001D33F1"/>
    <w:rsid w:val="001E14FF"/>
    <w:rsid w:val="001E3458"/>
    <w:rsid w:val="001F4A2D"/>
    <w:rsid w:val="001F55BB"/>
    <w:rsid w:val="00211483"/>
    <w:rsid w:val="00216A9A"/>
    <w:rsid w:val="0022080F"/>
    <w:rsid w:val="00232799"/>
    <w:rsid w:val="00233F5F"/>
    <w:rsid w:val="00246806"/>
    <w:rsid w:val="00253F03"/>
    <w:rsid w:val="00260D56"/>
    <w:rsid w:val="00262358"/>
    <w:rsid w:val="002627F4"/>
    <w:rsid w:val="00270415"/>
    <w:rsid w:val="00272BE0"/>
    <w:rsid w:val="002736C3"/>
    <w:rsid w:val="00275BAF"/>
    <w:rsid w:val="00276684"/>
    <w:rsid w:val="00281541"/>
    <w:rsid w:val="00281FEE"/>
    <w:rsid w:val="00285211"/>
    <w:rsid w:val="00290717"/>
    <w:rsid w:val="00293D92"/>
    <w:rsid w:val="002943A1"/>
    <w:rsid w:val="00295464"/>
    <w:rsid w:val="00295C7C"/>
    <w:rsid w:val="00297695"/>
    <w:rsid w:val="002978D8"/>
    <w:rsid w:val="002A2419"/>
    <w:rsid w:val="002A4464"/>
    <w:rsid w:val="002B2314"/>
    <w:rsid w:val="002B3421"/>
    <w:rsid w:val="002B3C4F"/>
    <w:rsid w:val="002B632B"/>
    <w:rsid w:val="002C0FFA"/>
    <w:rsid w:val="002C27A0"/>
    <w:rsid w:val="002C5E22"/>
    <w:rsid w:val="002C6BEF"/>
    <w:rsid w:val="002C70B0"/>
    <w:rsid w:val="002D1B5A"/>
    <w:rsid w:val="002D5711"/>
    <w:rsid w:val="002D643A"/>
    <w:rsid w:val="002D7EB0"/>
    <w:rsid w:val="002E21E6"/>
    <w:rsid w:val="002E611E"/>
    <w:rsid w:val="002F313C"/>
    <w:rsid w:val="00305A48"/>
    <w:rsid w:val="00305DA3"/>
    <w:rsid w:val="00307ED4"/>
    <w:rsid w:val="003100FA"/>
    <w:rsid w:val="0031276D"/>
    <w:rsid w:val="00314BD9"/>
    <w:rsid w:val="00316A4A"/>
    <w:rsid w:val="00320087"/>
    <w:rsid w:val="00321F5C"/>
    <w:rsid w:val="00322A6D"/>
    <w:rsid w:val="003300D1"/>
    <w:rsid w:val="00334C7C"/>
    <w:rsid w:val="00344436"/>
    <w:rsid w:val="00352E49"/>
    <w:rsid w:val="00354A68"/>
    <w:rsid w:val="00355F27"/>
    <w:rsid w:val="00356BD0"/>
    <w:rsid w:val="00357875"/>
    <w:rsid w:val="00361909"/>
    <w:rsid w:val="00365948"/>
    <w:rsid w:val="00366771"/>
    <w:rsid w:val="003671A5"/>
    <w:rsid w:val="0037258A"/>
    <w:rsid w:val="003740BF"/>
    <w:rsid w:val="0037546A"/>
    <w:rsid w:val="00375822"/>
    <w:rsid w:val="0037595B"/>
    <w:rsid w:val="00375FC5"/>
    <w:rsid w:val="003829CC"/>
    <w:rsid w:val="00386B63"/>
    <w:rsid w:val="003906D3"/>
    <w:rsid w:val="00390DB6"/>
    <w:rsid w:val="0039269E"/>
    <w:rsid w:val="003A3415"/>
    <w:rsid w:val="003A5C50"/>
    <w:rsid w:val="003A6F08"/>
    <w:rsid w:val="003A7CED"/>
    <w:rsid w:val="003B1204"/>
    <w:rsid w:val="003B1DD2"/>
    <w:rsid w:val="003B2924"/>
    <w:rsid w:val="003B4E94"/>
    <w:rsid w:val="003B6C06"/>
    <w:rsid w:val="003B6C84"/>
    <w:rsid w:val="003B6F3F"/>
    <w:rsid w:val="003C24E7"/>
    <w:rsid w:val="003C3209"/>
    <w:rsid w:val="003C4B44"/>
    <w:rsid w:val="003C7865"/>
    <w:rsid w:val="003D079B"/>
    <w:rsid w:val="003D0832"/>
    <w:rsid w:val="003D4B73"/>
    <w:rsid w:val="003D644A"/>
    <w:rsid w:val="003E0768"/>
    <w:rsid w:val="003E3940"/>
    <w:rsid w:val="003F3624"/>
    <w:rsid w:val="003F367D"/>
    <w:rsid w:val="00402CFB"/>
    <w:rsid w:val="00404160"/>
    <w:rsid w:val="0040667C"/>
    <w:rsid w:val="0041069F"/>
    <w:rsid w:val="004107DB"/>
    <w:rsid w:val="00411CD1"/>
    <w:rsid w:val="00413E28"/>
    <w:rsid w:val="00432D96"/>
    <w:rsid w:val="00441F88"/>
    <w:rsid w:val="004438AF"/>
    <w:rsid w:val="0045078B"/>
    <w:rsid w:val="00466EC6"/>
    <w:rsid w:val="00466F7B"/>
    <w:rsid w:val="00473287"/>
    <w:rsid w:val="0047410D"/>
    <w:rsid w:val="004751CA"/>
    <w:rsid w:val="00475B12"/>
    <w:rsid w:val="004766DF"/>
    <w:rsid w:val="0048189C"/>
    <w:rsid w:val="00482966"/>
    <w:rsid w:val="0048585E"/>
    <w:rsid w:val="00490108"/>
    <w:rsid w:val="00491114"/>
    <w:rsid w:val="00491283"/>
    <w:rsid w:val="004A0784"/>
    <w:rsid w:val="004A1052"/>
    <w:rsid w:val="004B0569"/>
    <w:rsid w:val="004B082D"/>
    <w:rsid w:val="004B3339"/>
    <w:rsid w:val="004B6DD9"/>
    <w:rsid w:val="004B71C9"/>
    <w:rsid w:val="004C2A0E"/>
    <w:rsid w:val="004C4BAE"/>
    <w:rsid w:val="004C67C9"/>
    <w:rsid w:val="004D0782"/>
    <w:rsid w:val="004D2585"/>
    <w:rsid w:val="004D2D66"/>
    <w:rsid w:val="004E03E9"/>
    <w:rsid w:val="004E1765"/>
    <w:rsid w:val="004F4B2D"/>
    <w:rsid w:val="0050226C"/>
    <w:rsid w:val="00505C61"/>
    <w:rsid w:val="0050678F"/>
    <w:rsid w:val="00513DE9"/>
    <w:rsid w:val="005142CC"/>
    <w:rsid w:val="00514717"/>
    <w:rsid w:val="00524209"/>
    <w:rsid w:val="005311F2"/>
    <w:rsid w:val="0053480D"/>
    <w:rsid w:val="005405D8"/>
    <w:rsid w:val="00550043"/>
    <w:rsid w:val="00554623"/>
    <w:rsid w:val="00554726"/>
    <w:rsid w:val="00554AA2"/>
    <w:rsid w:val="00555A9F"/>
    <w:rsid w:val="0056208F"/>
    <w:rsid w:val="00562C3C"/>
    <w:rsid w:val="00563508"/>
    <w:rsid w:val="00563C07"/>
    <w:rsid w:val="00564277"/>
    <w:rsid w:val="00564712"/>
    <w:rsid w:val="00566F28"/>
    <w:rsid w:val="005708E0"/>
    <w:rsid w:val="005763F0"/>
    <w:rsid w:val="00581497"/>
    <w:rsid w:val="0058189D"/>
    <w:rsid w:val="005820FE"/>
    <w:rsid w:val="0058442E"/>
    <w:rsid w:val="00590F8A"/>
    <w:rsid w:val="00592FE9"/>
    <w:rsid w:val="00594C69"/>
    <w:rsid w:val="00596DB8"/>
    <w:rsid w:val="005A087E"/>
    <w:rsid w:val="005A2F35"/>
    <w:rsid w:val="005A40BF"/>
    <w:rsid w:val="005B12C1"/>
    <w:rsid w:val="005B4A46"/>
    <w:rsid w:val="005B627F"/>
    <w:rsid w:val="005B683F"/>
    <w:rsid w:val="005C685A"/>
    <w:rsid w:val="005D5A27"/>
    <w:rsid w:val="005E0FA8"/>
    <w:rsid w:val="005E32E3"/>
    <w:rsid w:val="005E68E2"/>
    <w:rsid w:val="005E69D8"/>
    <w:rsid w:val="005F1381"/>
    <w:rsid w:val="005F4A34"/>
    <w:rsid w:val="005F4CC0"/>
    <w:rsid w:val="005F5EEF"/>
    <w:rsid w:val="005F677E"/>
    <w:rsid w:val="005F7A30"/>
    <w:rsid w:val="00601D25"/>
    <w:rsid w:val="006020D4"/>
    <w:rsid w:val="006046A5"/>
    <w:rsid w:val="0060565F"/>
    <w:rsid w:val="006125FD"/>
    <w:rsid w:val="00613058"/>
    <w:rsid w:val="00620835"/>
    <w:rsid w:val="00622410"/>
    <w:rsid w:val="00624E1E"/>
    <w:rsid w:val="006320D4"/>
    <w:rsid w:val="00633E80"/>
    <w:rsid w:val="0063449E"/>
    <w:rsid w:val="00635CEE"/>
    <w:rsid w:val="00637139"/>
    <w:rsid w:val="00637D8C"/>
    <w:rsid w:val="00640687"/>
    <w:rsid w:val="00640790"/>
    <w:rsid w:val="00650EDA"/>
    <w:rsid w:val="0065112E"/>
    <w:rsid w:val="00653148"/>
    <w:rsid w:val="0065545A"/>
    <w:rsid w:val="006613D5"/>
    <w:rsid w:val="00664606"/>
    <w:rsid w:val="00667AFD"/>
    <w:rsid w:val="0067184B"/>
    <w:rsid w:val="006761E7"/>
    <w:rsid w:val="00682EE4"/>
    <w:rsid w:val="0068545D"/>
    <w:rsid w:val="006974C3"/>
    <w:rsid w:val="006B0D20"/>
    <w:rsid w:val="006B3E36"/>
    <w:rsid w:val="006B65A3"/>
    <w:rsid w:val="006C09B8"/>
    <w:rsid w:val="006C12EB"/>
    <w:rsid w:val="006C1452"/>
    <w:rsid w:val="006C4048"/>
    <w:rsid w:val="006C544A"/>
    <w:rsid w:val="006C59A2"/>
    <w:rsid w:val="006C796D"/>
    <w:rsid w:val="006D06CC"/>
    <w:rsid w:val="006D30C5"/>
    <w:rsid w:val="006D74C0"/>
    <w:rsid w:val="006E0786"/>
    <w:rsid w:val="006E3ABB"/>
    <w:rsid w:val="006E563A"/>
    <w:rsid w:val="006F2196"/>
    <w:rsid w:val="006F69CB"/>
    <w:rsid w:val="007012DD"/>
    <w:rsid w:val="00704AC3"/>
    <w:rsid w:val="00710157"/>
    <w:rsid w:val="00712A40"/>
    <w:rsid w:val="00715D36"/>
    <w:rsid w:val="007223F1"/>
    <w:rsid w:val="0072465A"/>
    <w:rsid w:val="0073064A"/>
    <w:rsid w:val="0073197C"/>
    <w:rsid w:val="00734060"/>
    <w:rsid w:val="00737118"/>
    <w:rsid w:val="00741876"/>
    <w:rsid w:val="007421E1"/>
    <w:rsid w:val="00744BB2"/>
    <w:rsid w:val="00745A1A"/>
    <w:rsid w:val="007479D3"/>
    <w:rsid w:val="00766F71"/>
    <w:rsid w:val="00766FC3"/>
    <w:rsid w:val="00767A11"/>
    <w:rsid w:val="00773422"/>
    <w:rsid w:val="00777759"/>
    <w:rsid w:val="00780468"/>
    <w:rsid w:val="007804A7"/>
    <w:rsid w:val="007904B1"/>
    <w:rsid w:val="00792D86"/>
    <w:rsid w:val="007938C6"/>
    <w:rsid w:val="00795BC2"/>
    <w:rsid w:val="007963EB"/>
    <w:rsid w:val="007A1933"/>
    <w:rsid w:val="007A1A75"/>
    <w:rsid w:val="007A2F09"/>
    <w:rsid w:val="007A684D"/>
    <w:rsid w:val="007A7AA5"/>
    <w:rsid w:val="007B257B"/>
    <w:rsid w:val="007B564F"/>
    <w:rsid w:val="007B7B09"/>
    <w:rsid w:val="007C235E"/>
    <w:rsid w:val="007C4E16"/>
    <w:rsid w:val="007C5BCA"/>
    <w:rsid w:val="007C785E"/>
    <w:rsid w:val="007D220C"/>
    <w:rsid w:val="007D378E"/>
    <w:rsid w:val="007D43DD"/>
    <w:rsid w:val="007D587B"/>
    <w:rsid w:val="007D5900"/>
    <w:rsid w:val="007D6148"/>
    <w:rsid w:val="007D76A2"/>
    <w:rsid w:val="007E00CB"/>
    <w:rsid w:val="007E131F"/>
    <w:rsid w:val="007F6017"/>
    <w:rsid w:val="007F6555"/>
    <w:rsid w:val="00801966"/>
    <w:rsid w:val="00802E98"/>
    <w:rsid w:val="008053FC"/>
    <w:rsid w:val="00810096"/>
    <w:rsid w:val="00811E6A"/>
    <w:rsid w:val="00813DBE"/>
    <w:rsid w:val="00827478"/>
    <w:rsid w:val="00830E9C"/>
    <w:rsid w:val="00834DF9"/>
    <w:rsid w:val="008401D8"/>
    <w:rsid w:val="008451E2"/>
    <w:rsid w:val="00850258"/>
    <w:rsid w:val="008543E6"/>
    <w:rsid w:val="00855190"/>
    <w:rsid w:val="00862AF5"/>
    <w:rsid w:val="0087048B"/>
    <w:rsid w:val="008717DB"/>
    <w:rsid w:val="00872903"/>
    <w:rsid w:val="00880B71"/>
    <w:rsid w:val="008837EA"/>
    <w:rsid w:val="00885EBF"/>
    <w:rsid w:val="00886CB9"/>
    <w:rsid w:val="00887317"/>
    <w:rsid w:val="00891BBA"/>
    <w:rsid w:val="00893F37"/>
    <w:rsid w:val="00897964"/>
    <w:rsid w:val="008A0A13"/>
    <w:rsid w:val="008A5144"/>
    <w:rsid w:val="008C1068"/>
    <w:rsid w:val="008C3EE1"/>
    <w:rsid w:val="008D1342"/>
    <w:rsid w:val="008E0049"/>
    <w:rsid w:val="008E18FC"/>
    <w:rsid w:val="008E5B8A"/>
    <w:rsid w:val="008F119D"/>
    <w:rsid w:val="008F55A7"/>
    <w:rsid w:val="008F7449"/>
    <w:rsid w:val="00900D96"/>
    <w:rsid w:val="0090773B"/>
    <w:rsid w:val="009134A4"/>
    <w:rsid w:val="009246B0"/>
    <w:rsid w:val="0093185A"/>
    <w:rsid w:val="00931AA5"/>
    <w:rsid w:val="00933753"/>
    <w:rsid w:val="00933AC7"/>
    <w:rsid w:val="00933E84"/>
    <w:rsid w:val="00935EAF"/>
    <w:rsid w:val="00936FD3"/>
    <w:rsid w:val="00943AE4"/>
    <w:rsid w:val="00944582"/>
    <w:rsid w:val="00944FCF"/>
    <w:rsid w:val="00945F98"/>
    <w:rsid w:val="009552C3"/>
    <w:rsid w:val="00955EF3"/>
    <w:rsid w:val="00974618"/>
    <w:rsid w:val="00974656"/>
    <w:rsid w:val="00974D04"/>
    <w:rsid w:val="009751BC"/>
    <w:rsid w:val="00984958"/>
    <w:rsid w:val="0098717B"/>
    <w:rsid w:val="0099095B"/>
    <w:rsid w:val="009915C5"/>
    <w:rsid w:val="009A0A8A"/>
    <w:rsid w:val="009A2568"/>
    <w:rsid w:val="009A581D"/>
    <w:rsid w:val="009A6281"/>
    <w:rsid w:val="009B0030"/>
    <w:rsid w:val="009B316C"/>
    <w:rsid w:val="009B45C4"/>
    <w:rsid w:val="009C2B37"/>
    <w:rsid w:val="009C4591"/>
    <w:rsid w:val="009C49F8"/>
    <w:rsid w:val="009D0EA9"/>
    <w:rsid w:val="009D2E0C"/>
    <w:rsid w:val="009D3818"/>
    <w:rsid w:val="009D61AD"/>
    <w:rsid w:val="009F01D0"/>
    <w:rsid w:val="00A05B13"/>
    <w:rsid w:val="00A11B10"/>
    <w:rsid w:val="00A135EB"/>
    <w:rsid w:val="00A145C9"/>
    <w:rsid w:val="00A232DD"/>
    <w:rsid w:val="00A2446C"/>
    <w:rsid w:val="00A35786"/>
    <w:rsid w:val="00A41BB3"/>
    <w:rsid w:val="00A45ED8"/>
    <w:rsid w:val="00A46F75"/>
    <w:rsid w:val="00A47D0E"/>
    <w:rsid w:val="00A52A49"/>
    <w:rsid w:val="00A530D7"/>
    <w:rsid w:val="00A54849"/>
    <w:rsid w:val="00A56469"/>
    <w:rsid w:val="00A61693"/>
    <w:rsid w:val="00A619E3"/>
    <w:rsid w:val="00A6349D"/>
    <w:rsid w:val="00A643E3"/>
    <w:rsid w:val="00A71D34"/>
    <w:rsid w:val="00A72FC6"/>
    <w:rsid w:val="00A820E0"/>
    <w:rsid w:val="00A86069"/>
    <w:rsid w:val="00A87308"/>
    <w:rsid w:val="00AA03F2"/>
    <w:rsid w:val="00AA04CE"/>
    <w:rsid w:val="00AA07D2"/>
    <w:rsid w:val="00AA5B5B"/>
    <w:rsid w:val="00AB1BF4"/>
    <w:rsid w:val="00AB1E10"/>
    <w:rsid w:val="00AB1E1B"/>
    <w:rsid w:val="00AB6AFC"/>
    <w:rsid w:val="00AB6EAF"/>
    <w:rsid w:val="00AC2597"/>
    <w:rsid w:val="00AC3114"/>
    <w:rsid w:val="00AC4173"/>
    <w:rsid w:val="00AD5CBE"/>
    <w:rsid w:val="00AE3B41"/>
    <w:rsid w:val="00AE45B5"/>
    <w:rsid w:val="00AE57BF"/>
    <w:rsid w:val="00AE5DF6"/>
    <w:rsid w:val="00B01C8D"/>
    <w:rsid w:val="00B109BF"/>
    <w:rsid w:val="00B11B84"/>
    <w:rsid w:val="00B12EBC"/>
    <w:rsid w:val="00B1633E"/>
    <w:rsid w:val="00B1751C"/>
    <w:rsid w:val="00B2071C"/>
    <w:rsid w:val="00B218B5"/>
    <w:rsid w:val="00B22491"/>
    <w:rsid w:val="00B26E39"/>
    <w:rsid w:val="00B302EC"/>
    <w:rsid w:val="00B34BA8"/>
    <w:rsid w:val="00B425D7"/>
    <w:rsid w:val="00B5251C"/>
    <w:rsid w:val="00B600C4"/>
    <w:rsid w:val="00B63601"/>
    <w:rsid w:val="00B6584B"/>
    <w:rsid w:val="00B72A7D"/>
    <w:rsid w:val="00B75FCC"/>
    <w:rsid w:val="00B77590"/>
    <w:rsid w:val="00B77D6E"/>
    <w:rsid w:val="00B830A8"/>
    <w:rsid w:val="00B8658D"/>
    <w:rsid w:val="00B928FE"/>
    <w:rsid w:val="00B92BAC"/>
    <w:rsid w:val="00B92C48"/>
    <w:rsid w:val="00B93CEE"/>
    <w:rsid w:val="00B94CAA"/>
    <w:rsid w:val="00BA1A5D"/>
    <w:rsid w:val="00BA3A9B"/>
    <w:rsid w:val="00BA533E"/>
    <w:rsid w:val="00BA71AB"/>
    <w:rsid w:val="00BC02CA"/>
    <w:rsid w:val="00BC589C"/>
    <w:rsid w:val="00BD4227"/>
    <w:rsid w:val="00BD4ACB"/>
    <w:rsid w:val="00BE575F"/>
    <w:rsid w:val="00BE5E0B"/>
    <w:rsid w:val="00BF14F7"/>
    <w:rsid w:val="00BF1613"/>
    <w:rsid w:val="00BF24F4"/>
    <w:rsid w:val="00BF30C2"/>
    <w:rsid w:val="00BF3230"/>
    <w:rsid w:val="00BF4B10"/>
    <w:rsid w:val="00BF7B02"/>
    <w:rsid w:val="00BF7D46"/>
    <w:rsid w:val="00C04369"/>
    <w:rsid w:val="00C043FE"/>
    <w:rsid w:val="00C12C5C"/>
    <w:rsid w:val="00C3342D"/>
    <w:rsid w:val="00C34F21"/>
    <w:rsid w:val="00C354D8"/>
    <w:rsid w:val="00C36863"/>
    <w:rsid w:val="00C378A5"/>
    <w:rsid w:val="00C40172"/>
    <w:rsid w:val="00C433E6"/>
    <w:rsid w:val="00C438D0"/>
    <w:rsid w:val="00C459B9"/>
    <w:rsid w:val="00C47A1C"/>
    <w:rsid w:val="00C50881"/>
    <w:rsid w:val="00C533DA"/>
    <w:rsid w:val="00C5472C"/>
    <w:rsid w:val="00C60B0E"/>
    <w:rsid w:val="00C617F2"/>
    <w:rsid w:val="00C62D64"/>
    <w:rsid w:val="00C62F33"/>
    <w:rsid w:val="00C649F4"/>
    <w:rsid w:val="00C70238"/>
    <w:rsid w:val="00C710BC"/>
    <w:rsid w:val="00C729B0"/>
    <w:rsid w:val="00C76AA6"/>
    <w:rsid w:val="00C83580"/>
    <w:rsid w:val="00C878A7"/>
    <w:rsid w:val="00C907EF"/>
    <w:rsid w:val="00C92773"/>
    <w:rsid w:val="00CA6227"/>
    <w:rsid w:val="00CA7195"/>
    <w:rsid w:val="00CA7BF5"/>
    <w:rsid w:val="00CB1634"/>
    <w:rsid w:val="00CB3DE6"/>
    <w:rsid w:val="00CB51E7"/>
    <w:rsid w:val="00CC01D7"/>
    <w:rsid w:val="00CC45FE"/>
    <w:rsid w:val="00CC5D6E"/>
    <w:rsid w:val="00CD217C"/>
    <w:rsid w:val="00CD70B6"/>
    <w:rsid w:val="00CE2B34"/>
    <w:rsid w:val="00CE4960"/>
    <w:rsid w:val="00CF007D"/>
    <w:rsid w:val="00CF0BB4"/>
    <w:rsid w:val="00CF262D"/>
    <w:rsid w:val="00CF2CBC"/>
    <w:rsid w:val="00CF4278"/>
    <w:rsid w:val="00D011A3"/>
    <w:rsid w:val="00D03A1A"/>
    <w:rsid w:val="00D03D9C"/>
    <w:rsid w:val="00D071D3"/>
    <w:rsid w:val="00D07852"/>
    <w:rsid w:val="00D10A3E"/>
    <w:rsid w:val="00D1379D"/>
    <w:rsid w:val="00D167E4"/>
    <w:rsid w:val="00D20474"/>
    <w:rsid w:val="00D20827"/>
    <w:rsid w:val="00D20950"/>
    <w:rsid w:val="00D244ED"/>
    <w:rsid w:val="00D26E68"/>
    <w:rsid w:val="00D3042F"/>
    <w:rsid w:val="00D35DCD"/>
    <w:rsid w:val="00D44D19"/>
    <w:rsid w:val="00D4595B"/>
    <w:rsid w:val="00D45CC9"/>
    <w:rsid w:val="00D473D2"/>
    <w:rsid w:val="00D47ECE"/>
    <w:rsid w:val="00D5457E"/>
    <w:rsid w:val="00D560BB"/>
    <w:rsid w:val="00D634DB"/>
    <w:rsid w:val="00D76AAC"/>
    <w:rsid w:val="00D77BEC"/>
    <w:rsid w:val="00D82E4E"/>
    <w:rsid w:val="00D849C0"/>
    <w:rsid w:val="00D84E3F"/>
    <w:rsid w:val="00D863A1"/>
    <w:rsid w:val="00D87391"/>
    <w:rsid w:val="00D92573"/>
    <w:rsid w:val="00D925CF"/>
    <w:rsid w:val="00D9340F"/>
    <w:rsid w:val="00DA7ADD"/>
    <w:rsid w:val="00DA7E6E"/>
    <w:rsid w:val="00DB1F8D"/>
    <w:rsid w:val="00DB6B24"/>
    <w:rsid w:val="00DC1483"/>
    <w:rsid w:val="00DC1B62"/>
    <w:rsid w:val="00DC7248"/>
    <w:rsid w:val="00DD0618"/>
    <w:rsid w:val="00DD3E9B"/>
    <w:rsid w:val="00DD4682"/>
    <w:rsid w:val="00DD6567"/>
    <w:rsid w:val="00DE3A06"/>
    <w:rsid w:val="00DE4ABE"/>
    <w:rsid w:val="00DF53A8"/>
    <w:rsid w:val="00DF6CDA"/>
    <w:rsid w:val="00E00D4C"/>
    <w:rsid w:val="00E04953"/>
    <w:rsid w:val="00E07470"/>
    <w:rsid w:val="00E14F45"/>
    <w:rsid w:val="00E22B91"/>
    <w:rsid w:val="00E24C35"/>
    <w:rsid w:val="00E25969"/>
    <w:rsid w:val="00E25C15"/>
    <w:rsid w:val="00E27AF7"/>
    <w:rsid w:val="00E35C44"/>
    <w:rsid w:val="00E360EC"/>
    <w:rsid w:val="00E4271A"/>
    <w:rsid w:val="00E465E6"/>
    <w:rsid w:val="00E504EC"/>
    <w:rsid w:val="00E5536D"/>
    <w:rsid w:val="00E637C2"/>
    <w:rsid w:val="00E674FE"/>
    <w:rsid w:val="00E70998"/>
    <w:rsid w:val="00E85189"/>
    <w:rsid w:val="00E85FC0"/>
    <w:rsid w:val="00E86E9B"/>
    <w:rsid w:val="00E86F4F"/>
    <w:rsid w:val="00E91B2A"/>
    <w:rsid w:val="00E93ED4"/>
    <w:rsid w:val="00E9506B"/>
    <w:rsid w:val="00E97B82"/>
    <w:rsid w:val="00EA005B"/>
    <w:rsid w:val="00EA4D8A"/>
    <w:rsid w:val="00EA56E1"/>
    <w:rsid w:val="00EB081A"/>
    <w:rsid w:val="00EB10B8"/>
    <w:rsid w:val="00EB1824"/>
    <w:rsid w:val="00EB4C68"/>
    <w:rsid w:val="00EC6A87"/>
    <w:rsid w:val="00EC7FDE"/>
    <w:rsid w:val="00ED05EE"/>
    <w:rsid w:val="00EE5924"/>
    <w:rsid w:val="00EF10CB"/>
    <w:rsid w:val="00EF129C"/>
    <w:rsid w:val="00F0404A"/>
    <w:rsid w:val="00F114BF"/>
    <w:rsid w:val="00F11687"/>
    <w:rsid w:val="00F143A2"/>
    <w:rsid w:val="00F15A07"/>
    <w:rsid w:val="00F179F1"/>
    <w:rsid w:val="00F2345A"/>
    <w:rsid w:val="00F25904"/>
    <w:rsid w:val="00F31013"/>
    <w:rsid w:val="00F36602"/>
    <w:rsid w:val="00F36EF0"/>
    <w:rsid w:val="00F40FE3"/>
    <w:rsid w:val="00F438F8"/>
    <w:rsid w:val="00F446DC"/>
    <w:rsid w:val="00F46B5D"/>
    <w:rsid w:val="00F50354"/>
    <w:rsid w:val="00F533D0"/>
    <w:rsid w:val="00F53917"/>
    <w:rsid w:val="00F56953"/>
    <w:rsid w:val="00F57C15"/>
    <w:rsid w:val="00F6031C"/>
    <w:rsid w:val="00F6168E"/>
    <w:rsid w:val="00F65262"/>
    <w:rsid w:val="00F66E72"/>
    <w:rsid w:val="00F7069C"/>
    <w:rsid w:val="00F7404E"/>
    <w:rsid w:val="00F74AC4"/>
    <w:rsid w:val="00F76118"/>
    <w:rsid w:val="00F80659"/>
    <w:rsid w:val="00F8431C"/>
    <w:rsid w:val="00F852BF"/>
    <w:rsid w:val="00F856A7"/>
    <w:rsid w:val="00F867BF"/>
    <w:rsid w:val="00F87892"/>
    <w:rsid w:val="00F87D60"/>
    <w:rsid w:val="00F90842"/>
    <w:rsid w:val="00F90896"/>
    <w:rsid w:val="00F96712"/>
    <w:rsid w:val="00F97334"/>
    <w:rsid w:val="00FA0161"/>
    <w:rsid w:val="00FA1CE7"/>
    <w:rsid w:val="00FA2272"/>
    <w:rsid w:val="00FA2E6F"/>
    <w:rsid w:val="00FA52BE"/>
    <w:rsid w:val="00FB23C7"/>
    <w:rsid w:val="00FB4612"/>
    <w:rsid w:val="00FB54ED"/>
    <w:rsid w:val="00FC1024"/>
    <w:rsid w:val="00FC6445"/>
    <w:rsid w:val="00FD36D1"/>
    <w:rsid w:val="00FD6ACA"/>
    <w:rsid w:val="00FE1862"/>
    <w:rsid w:val="00FE5169"/>
    <w:rsid w:val="00FE6A7B"/>
    <w:rsid w:val="00FF08FC"/>
    <w:rsid w:val="00FF169D"/>
    <w:rsid w:val="00FF1878"/>
    <w:rsid w:val="00FF4CB3"/>
    <w:rsid w:val="00FF7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9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7D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7D6E"/>
    <w:rPr>
      <w:rFonts w:ascii="Tahoma" w:hAnsi="Tahoma" w:cs="Tahoma"/>
      <w:sz w:val="16"/>
      <w:szCs w:val="16"/>
    </w:rPr>
  </w:style>
  <w:style w:type="paragraph" w:styleId="NoSpacing">
    <w:name w:val="No Spacing"/>
    <w:uiPriority w:val="1"/>
    <w:qFormat/>
    <w:rsid w:val="00B77D6E"/>
    <w:pPr>
      <w:spacing w:after="0" w:line="240" w:lineRule="auto"/>
    </w:pPr>
  </w:style>
  <w:style w:type="paragraph" w:styleId="ListParagraph">
    <w:name w:val="List Paragraph"/>
    <w:basedOn w:val="Normal"/>
    <w:uiPriority w:val="34"/>
    <w:qFormat/>
    <w:rsid w:val="00027F50"/>
    <w:pPr>
      <w:ind w:left="720"/>
      <w:contextualSpacing/>
    </w:pPr>
  </w:style>
  <w:style w:type="paragraph" w:styleId="Header">
    <w:name w:val="header"/>
    <w:basedOn w:val="Normal"/>
    <w:link w:val="HeaderChar"/>
    <w:uiPriority w:val="99"/>
    <w:unhideWhenUsed/>
    <w:rsid w:val="001A37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7DE"/>
  </w:style>
  <w:style w:type="paragraph" w:styleId="Footer">
    <w:name w:val="footer"/>
    <w:basedOn w:val="Normal"/>
    <w:link w:val="FooterChar"/>
    <w:uiPriority w:val="99"/>
    <w:unhideWhenUsed/>
    <w:rsid w:val="001A37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7DE"/>
  </w:style>
  <w:style w:type="character" w:styleId="Hyperlink">
    <w:name w:val="Hyperlink"/>
    <w:basedOn w:val="DefaultParagraphFont"/>
    <w:uiPriority w:val="99"/>
    <w:unhideWhenUsed/>
    <w:rsid w:val="00D244ED"/>
    <w:rPr>
      <w:color w:val="0000FF" w:themeColor="hyperlink"/>
      <w:u w:val="single"/>
    </w:rPr>
  </w:style>
  <w:style w:type="table" w:styleId="TableGrid">
    <w:name w:val="Table Grid"/>
    <w:basedOn w:val="TableNormal"/>
    <w:uiPriority w:val="59"/>
    <w:rsid w:val="007418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7611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E9506B"/>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BF14F7"/>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5">
    <w:name w:val="Light Shading Accent 5"/>
    <w:basedOn w:val="TableNormal"/>
    <w:uiPriority w:val="60"/>
    <w:rsid w:val="00BF14F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6653">
      <w:bodyDiv w:val="1"/>
      <w:marLeft w:val="0"/>
      <w:marRight w:val="0"/>
      <w:marTop w:val="0"/>
      <w:marBottom w:val="0"/>
      <w:divBdr>
        <w:top w:val="none" w:sz="0" w:space="0" w:color="auto"/>
        <w:left w:val="none" w:sz="0" w:space="0" w:color="auto"/>
        <w:bottom w:val="none" w:sz="0" w:space="0" w:color="auto"/>
        <w:right w:val="none" w:sz="0" w:space="0" w:color="auto"/>
      </w:divBdr>
    </w:div>
    <w:div w:id="116722189">
      <w:bodyDiv w:val="1"/>
      <w:marLeft w:val="0"/>
      <w:marRight w:val="0"/>
      <w:marTop w:val="0"/>
      <w:marBottom w:val="0"/>
      <w:divBdr>
        <w:top w:val="none" w:sz="0" w:space="0" w:color="auto"/>
        <w:left w:val="none" w:sz="0" w:space="0" w:color="auto"/>
        <w:bottom w:val="none" w:sz="0" w:space="0" w:color="auto"/>
        <w:right w:val="none" w:sz="0" w:space="0" w:color="auto"/>
      </w:divBdr>
    </w:div>
    <w:div w:id="222251489">
      <w:bodyDiv w:val="1"/>
      <w:marLeft w:val="0"/>
      <w:marRight w:val="0"/>
      <w:marTop w:val="0"/>
      <w:marBottom w:val="0"/>
      <w:divBdr>
        <w:top w:val="none" w:sz="0" w:space="0" w:color="auto"/>
        <w:left w:val="none" w:sz="0" w:space="0" w:color="auto"/>
        <w:bottom w:val="none" w:sz="0" w:space="0" w:color="auto"/>
        <w:right w:val="none" w:sz="0" w:space="0" w:color="auto"/>
      </w:divBdr>
    </w:div>
    <w:div w:id="422336051">
      <w:bodyDiv w:val="1"/>
      <w:marLeft w:val="0"/>
      <w:marRight w:val="0"/>
      <w:marTop w:val="0"/>
      <w:marBottom w:val="0"/>
      <w:divBdr>
        <w:top w:val="none" w:sz="0" w:space="0" w:color="auto"/>
        <w:left w:val="none" w:sz="0" w:space="0" w:color="auto"/>
        <w:bottom w:val="none" w:sz="0" w:space="0" w:color="auto"/>
        <w:right w:val="none" w:sz="0" w:space="0" w:color="auto"/>
      </w:divBdr>
    </w:div>
    <w:div w:id="162523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ykhuisr@mcls.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ustainablecollections.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74B34-83DF-4D3C-A24E-12D88B096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3414</Words>
  <Characters>19460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22829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 Lugg</dc:creator>
  <cp:lastModifiedBy>Grudzien, Pamela A.</cp:lastModifiedBy>
  <cp:revision>2</cp:revision>
  <cp:lastPrinted>2015-01-22T16:01:00Z</cp:lastPrinted>
  <dcterms:created xsi:type="dcterms:W3CDTF">2015-04-01T12:46:00Z</dcterms:created>
  <dcterms:modified xsi:type="dcterms:W3CDTF">2015-04-01T12:46:00Z</dcterms:modified>
</cp:coreProperties>
</file>